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721—21.50</w:t>
      </w:r>
      <w:r>
        <w:rPr>
          <w:rFonts w:ascii="Times New Roman" w:hAnsi="Times New Roman"/>
          <w:b/>
          <w:i w:val="false"/>
          <w:color w:val="000000"/>
          <w:sz w:val="22"/>
        </w:rPr>
        <w:t xml:space="preserve">(49) </w:t>
      </w:r>
      <w:r>
        <w:rPr>
          <w:rFonts w:ascii="Times New Roman" w:hAnsi="Times New Roman"/>
          <w:b/>
          <w:i w:val="false"/>
          <w:color w:val="000000"/>
          <w:sz w:val="22"/>
        </w:rPr>
        <w:t xml:space="preserve">Polling place accessibility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21.50(1)</w:t>
      </w:r>
      <w:r>
        <w:rPr>
          <w:rFonts w:ascii="Times New Roman" w:hAnsi="Times New Roman"/>
          <w:b w:val="false"/>
          <w:i w:val="false"/>
          <w:color w:val="000000"/>
          <w:sz w:val="22"/>
        </w:rPr>
        <w:t> </w:t>
      </w:r>
      <w:r>
        <w:rPr>
          <w:rFonts w:ascii="Times New Roman" w:hAnsi="Times New Roman"/>
          <w:b w:val="false"/>
          <w:i/>
          <w:color w:val="000000"/>
          <w:sz w:val="22"/>
        </w:rPr>
        <w:t xml:space="preserve">Inspection required. </w:t>
      </w:r>
      <w:r>
        <w:rPr>
          <w:rFonts w:ascii="Times New Roman" w:hAnsi="Times New Roman"/>
          <w:b w:val="false"/>
          <w:i w:val="false"/>
          <w:color w:val="000000"/>
          <w:sz w:val="22"/>
        </w:rPr>
        <w:t>Before any building may be designated for use as a polling place, the county commissioner of elections or the commissioner’s designee shall inspect the building to determine whether it is accessible to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21.50(2)</w:t>
      </w:r>
      <w:r>
        <w:rPr>
          <w:rFonts w:ascii="Times New Roman" w:hAnsi="Times New Roman"/>
          <w:b w:val="false"/>
          <w:i w:val="false"/>
          <w:color w:val="000000"/>
          <w:sz w:val="22"/>
        </w:rPr>
        <w:t> </w:t>
      </w:r>
      <w:r>
        <w:rPr>
          <w:rFonts w:ascii="Times New Roman" w:hAnsi="Times New Roman"/>
          <w:b w:val="false"/>
          <w:i/>
          <w:color w:val="000000"/>
          <w:sz w:val="22"/>
        </w:rPr>
        <w:t xml:space="preserve">Frequency of inspection. </w:t>
      </w:r>
      <w:r>
        <w:rPr>
          <w:rFonts w:ascii="Times New Roman" w:hAnsi="Times New Roman"/>
          <w:b w:val="false"/>
          <w:i w:val="false"/>
          <w:color w:val="000000"/>
          <w:sz w:val="22"/>
        </w:rPr>
        <w:t xml:space="preserve">Polling places that have been inspected using the Polling Place Accessibility Survey Form prescribed in subrule </w:t>
      </w:r>
      <w:hyperlink r:id="rId4">
        <w:r>
          <w:rPr>
            <w:rStyle w:val="Hyperlink"/>
            <w:rFonts w:ascii="Times New Roman" w:hAnsi="Times New Roman"/>
            <w:b w:val="false"/>
            <w:i w:val="false"/>
            <w:color w:val="000000"/>
            <w:sz w:val="22"/>
          </w:rPr>
          <w:t>21.50(4)</w:t>
        </w:r>
      </w:hyperlink>
      <w:r>
        <w:rPr>
          <w:rFonts w:ascii="Times New Roman" w:hAnsi="Times New Roman"/>
          <w:b w:val="false"/>
          <w:i w:val="false"/>
          <w:color w:val="000000"/>
          <w:sz w:val="22"/>
        </w:rPr>
        <w:t xml:space="preserve"> shall be reinspected if structural changes are made to the building or if the location of the polling place inside the building is changed.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21.50(3)</w:t>
      </w:r>
      <w:r>
        <w:rPr>
          <w:rFonts w:ascii="Times New Roman" w:hAnsi="Times New Roman"/>
          <w:b w:val="false"/>
          <w:i w:val="false"/>
          <w:color w:val="000000"/>
          <w:sz w:val="22"/>
        </w:rPr>
        <w:t> </w:t>
      </w:r>
      <w:r>
        <w:rPr>
          <w:rFonts w:ascii="Times New Roman" w:hAnsi="Times New Roman"/>
          <w:b w:val="false"/>
          <w:i/>
          <w:color w:val="000000"/>
          <w:sz w:val="22"/>
        </w:rPr>
        <w:t xml:space="preserve">Review of accessibility. </w:t>
      </w:r>
      <w:r>
        <w:rPr>
          <w:rFonts w:ascii="Times New Roman" w:hAnsi="Times New Roman"/>
          <w:b w:val="false"/>
          <w:i w:val="false"/>
          <w:color w:val="000000"/>
          <w:sz w:val="22"/>
        </w:rPr>
        <w:t>Not less than 90 days before each primary election, the commissioner shall determine whether each polling place needs to be reinspected.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21.50(4)</w:t>
      </w:r>
      <w:r>
        <w:rPr>
          <w:rFonts w:ascii="Times New Roman" w:hAnsi="Times New Roman"/>
          <w:b w:val="false"/>
          <w:i w:val="false"/>
          <w:color w:val="000000"/>
          <w:sz w:val="22"/>
        </w:rPr>
        <w:t> </w:t>
      </w:r>
      <w:r>
        <w:rPr>
          <w:rFonts w:ascii="Times New Roman" w:hAnsi="Times New Roman"/>
          <w:b w:val="false"/>
          <w:i/>
          <w:color w:val="000000"/>
          <w:sz w:val="22"/>
        </w:rPr>
        <w:t xml:space="preserve">Standards for determining polling place accessibility. </w:t>
      </w:r>
      <w:r>
        <w:rPr>
          <w:rFonts w:ascii="Times New Roman" w:hAnsi="Times New Roman"/>
          <w:b w:val="false"/>
          <w:i w:val="false"/>
          <w:color w:val="000000"/>
          <w:sz w:val="22"/>
        </w:rPr>
        <w:t>The survey form available on the state commissioner’s website titled “Polling Place Accessibility Survey” shall be used to evaluate polling places for accessibility to persons with disabilities.</w:t>
      </w:r>
    </w:p>
    <w:p>
      <w:pPr>
        <w:spacing w:before="0" w:after="0"/>
        <w:ind w:left="120"/>
        <w:jc w:val="both"/>
      </w:pPr>
      <w:r>
        <w:rPr>
          <w:rFonts w:ascii="Times New Roman" w:hAnsi="Times New Roman"/>
          <w:b w:val="false"/>
          <w:i w:val="false"/>
          <w:color w:val="000000"/>
          <w:sz w:val="22"/>
        </w:rPr>
        <w:t>The term “off-street parking” used in the polling place accessibility survey means parking places in lots separated from the street and includes angle parking along the street if the accessible route from the parking place to the polling place is entirely out of the path of traffic. Parking arrangements that require either the driver or passengers of the vehicle to go into the traveled part of the street are not accessible.</w:t>
      </w:r>
    </w:p>
    <w:p>
      <w:pPr>
        <w:spacing w:before="0" w:after="0"/>
        <w:ind w:left="120"/>
        <w:jc w:val="both"/>
      </w:pPr>
      <w:r>
        <w:rPr>
          <w:rFonts w:ascii="Times New Roman" w:hAnsi="Times New Roman"/>
          <w:b w:val="false"/>
          <w:i w:val="false"/>
          <w:color w:val="000000"/>
          <w:sz w:val="22"/>
        </w:rPr>
        <w:t>An access aisle at street level that is at least 60 inches wide and the same length as each accessible parking space shall be provided. An accessible public sidewalk curb ramp shall connect the access aisle to the continuous passage to the polling place. At least one parking place shall be van-accessible with a 96-inch access aisle connected to the continuous passage to the polling place by an accessible public sidewalk curb ramp. Two accessible parking spaces may share a common access aisle.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21.50(5)</w:t>
      </w:r>
      <w:r>
        <w:rPr>
          <w:rFonts w:ascii="Times New Roman" w:hAnsi="Times New Roman"/>
          <w:b w:val="false"/>
          <w:i w:val="false"/>
          <w:color w:val="000000"/>
          <w:sz w:val="22"/>
        </w:rPr>
        <w:t> </w:t>
      </w:r>
      <w:r>
        <w:rPr>
          <w:rFonts w:ascii="Times New Roman" w:hAnsi="Times New Roman"/>
          <w:b w:val="false"/>
          <w:i/>
          <w:color w:val="000000"/>
          <w:sz w:val="22"/>
        </w:rPr>
        <w:t xml:space="preserve">Temporary waiver of accessibility requirements. </w:t>
      </w:r>
      <w:r>
        <w:rPr>
          <w:rFonts w:ascii="Times New Roman" w:hAnsi="Times New Roman"/>
          <w:b w:val="false"/>
          <w:i w:val="false"/>
          <w:color w:val="000000"/>
          <w:sz w:val="22"/>
        </w:rPr>
        <w:t xml:space="preserve">Notwithstanding the waiver provisions of </w:t>
      </w:r>
      <w:hyperlink r:id="rId5">
        <w:r>
          <w:rPr>
            <w:rStyle w:val="Hyperlink"/>
            <w:rFonts w:ascii="Times New Roman" w:hAnsi="Times New Roman"/>
            <w:b w:val="false"/>
            <w:i w:val="false"/>
            <w:color w:val="000000"/>
            <w:sz w:val="22"/>
          </w:rPr>
          <w:t>721—Chapter 10</w:t>
        </w:r>
      </w:hyperlink>
      <w:r>
        <w:rPr>
          <w:rFonts w:ascii="Times New Roman" w:hAnsi="Times New Roman"/>
          <w:b w:val="false"/>
          <w:i w:val="false"/>
          <w:color w:val="000000"/>
          <w:sz w:val="22"/>
        </w:rPr>
        <w:t>, if the county commissioner is unable to provide an accessible polling place for any precinct, the commissioner shall apply for a temporary waiver of accessibility requirements pursuant to this subrule. Applications shall be filed with the secretary of state not later than 60 days before the date of any scheduled election. If a waiver is granted, it shall be valid for two years from the date of approval by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include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for Temporary Waiver of Accessibility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Polling Place Accessibility Survey Form for the polling place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Polling Place Accessibility Survey Form for any other buildings that were surveyed and rejected as possible polling place sites for the precinct.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accessible place becomes available at least 30 days before an election, the commissioner shall change polling places and shall notify the secretary of state. The notice shall include a copy of the Polling Place Accessibility Survey Form for the new polling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21.50(6)</w:t>
      </w:r>
      <w:r>
        <w:rPr>
          <w:rFonts w:ascii="Times New Roman" w:hAnsi="Times New Roman"/>
          <w:b w:val="false"/>
          <w:i w:val="false"/>
          <w:color w:val="000000"/>
          <w:sz w:val="22"/>
        </w:rPr>
        <w:t> </w:t>
      </w:r>
      <w:r>
        <w:rPr>
          <w:rFonts w:ascii="Times New Roman" w:hAnsi="Times New Roman"/>
          <w:b w:val="false"/>
          <w:i/>
          <w:color w:val="000000"/>
          <w:sz w:val="22"/>
        </w:rPr>
        <w:t xml:space="preserve">Emergency waivers. </w:t>
      </w:r>
      <w:r>
        <w:rPr>
          <w:rFonts w:ascii="Times New Roman" w:hAnsi="Times New Roman"/>
          <w:b w:val="false"/>
          <w:i w:val="false"/>
          <w:color w:val="000000"/>
          <w:sz w:val="22"/>
        </w:rPr>
        <w:t>During the 60 days preceding an election, if a polling place becomes unavailable for use due to fire, flood, or changes made to the building, or for other reasons, the commissioner must apply for an emergency waiver of accessibility requirements in order to move the polling place to an inaccessible building. Emergency waiver applications must be filed with the secretary of state as soon as possible before election day. To apply for an emergency waiver, the commissioner shall send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Temporary Waiver of Accessibility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Polling Place Accessibility Survey Form for the polling place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Polling Place Accessibility Survey Form for any other buildings that were surveyed and rejected as possible polling place sites for this precinct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21.50(7)</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The form posted on the state commissioner’s website titled “Temporary Waiver of Accessibility Requirements” shall be used to apply for a temporary waiver of accessibility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21.50(8)</w:t>
      </w:r>
      <w:r>
        <w:rPr>
          <w:rFonts w:ascii="Times New Roman" w:hAnsi="Times New Roman"/>
          <w:b w:val="false"/>
          <w:i w:val="false"/>
          <w:color w:val="000000"/>
          <w:sz w:val="22"/>
        </w:rPr>
        <w:t> </w:t>
      </w:r>
      <w:r>
        <w:rPr>
          <w:rFonts w:ascii="Times New Roman" w:hAnsi="Times New Roman"/>
          <w:b w:val="false"/>
          <w:i/>
          <w:color w:val="000000"/>
          <w:sz w:val="22"/>
        </w:rPr>
        <w:t xml:space="preserve">Evaluation of waivers. </w:t>
      </w:r>
      <w:r>
        <w:rPr>
          <w:rFonts w:ascii="Times New Roman" w:hAnsi="Times New Roman"/>
          <w:b w:val="false"/>
          <w:i w:val="false"/>
          <w:color w:val="000000"/>
          <w:sz w:val="22"/>
        </w:rPr>
        <w:t>When the secretary of state receives waiver applications, the applications shall be reviewed carefully. A response shall be sent to the commissioner within one week by email or by fax to notify the commissioner when the waiver request was received and whether additional information is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21.50(9)</w:t>
      </w:r>
      <w:r>
        <w:rPr>
          <w:rFonts w:ascii="Times New Roman" w:hAnsi="Times New Roman"/>
          <w:b w:val="false"/>
          <w:i w:val="false"/>
          <w:color w:val="000000"/>
          <w:sz w:val="22"/>
        </w:rPr>
        <w:t> </w:t>
      </w:r>
      <w:r>
        <w:rPr>
          <w:rFonts w:ascii="Times New Roman" w:hAnsi="Times New Roman"/>
          <w:b w:val="false"/>
          <w:i/>
          <w:color w:val="000000"/>
          <w:sz w:val="22"/>
        </w:rPr>
        <w:t xml:space="preserve">Granting waivers. </w:t>
      </w:r>
      <w:r>
        <w:rPr>
          <w:rFonts w:ascii="Times New Roman" w:hAnsi="Times New Roman"/>
          <w:b w:val="false"/>
          <w:i w:val="false"/>
          <w:color w:val="000000"/>
          <w:sz w:val="22"/>
        </w:rPr>
        <w:t>If the secretary of state determines from the documents filed with the waiver request that conditions justify the use of a polling place that does not meet accessibility standards, the secretary of state shall grant the waiver of accessibility requirements. If the secretary of state determines from the documents filed with the waiver request that all potential polling places have been surveyed and no accessible place is available, and the available building cannot be made temporarily accessible, the waiver shall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21.50(10)</w:t>
      </w:r>
      <w:r>
        <w:rPr>
          <w:rFonts w:ascii="Times New Roman" w:hAnsi="Times New Roman"/>
          <w:b w:val="false"/>
          <w:i w:val="false"/>
          <w:color w:val="000000"/>
          <w:sz w:val="22"/>
        </w:rPr>
        <w:t> </w:t>
      </w:r>
      <w:r>
        <w:rPr>
          <w:rFonts w:ascii="Times New Roman" w:hAnsi="Times New Roman"/>
          <w:b w:val="false"/>
          <w:i/>
          <w:color w:val="000000"/>
          <w:sz w:val="22"/>
        </w:rPr>
        <w:t xml:space="preserve">Notice required. </w:t>
      </w:r>
      <w:r>
        <w:rPr>
          <w:rFonts w:ascii="Times New Roman" w:hAnsi="Times New Roman"/>
          <w:b w:val="false"/>
          <w:i w:val="false"/>
          <w:color w:val="000000"/>
          <w:sz w:val="22"/>
        </w:rPr>
        <w:t xml:space="preserve">Each notice of election published pursuant to Iowa Code section </w:t>
      </w:r>
      <w:hyperlink r:id="rId6">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shall clearly describe which polling places are inaccessible. The notice shall include a description of the services available to persons with disabilities who live in precincts with inaccessible polling places. The notice shall be in substantially the following form:</w:t>
      </w:r>
    </w:p>
    <w:p>
      <w:pPr>
        <w:spacing w:before="0" w:after="0"/>
        <w:ind w:left="356"/>
        <w:jc w:val="both"/>
      </w:pPr>
      <w:r>
        <w:rPr>
          <w:rFonts w:ascii="Times New Roman" w:hAnsi="Times New Roman"/>
          <w:b w:val="false"/>
          <w:i w:val="false"/>
          <w:color w:val="000000"/>
          <w:sz w:val="22"/>
        </w:rPr>
        <w:t>Any voter who is physically unable to enter a polling place has the right to vote in the voter’s vehicle. For further information, please contact the county auditor’s office at the telephone number or email address listed below:</w:t>
      </w:r>
    </w:p>
    <w:p>
      <w:pPr>
        <w:spacing w:before="0" w:after="0"/>
        <w:ind w:left="356"/>
        <w:jc w:val="both"/>
      </w:pPr>
      <w:r>
        <w:rPr>
          <w:rFonts w:ascii="Times New Roman" w:hAnsi="Times New Roman"/>
          <w:b w:val="false"/>
          <w:i w:val="false"/>
          <w:color w:val="000000"/>
          <w:sz w:val="22"/>
        </w:rPr>
        <w:t>Telephone: _______________ Email address: _______________.</w:t>
      </w:r>
    </w:p>
    <w:p>
      <w:pPr>
        <w:spacing w:before="0" w:after="0"/>
        <w:ind w:left="356"/>
        <w:jc w:val="both"/>
      </w:pPr>
      <w:r>
        <w:rPr>
          <w:rFonts w:ascii="Times New Roman" w:hAnsi="Times New Roman"/>
          <w:b w:val="false"/>
          <w:i w:val="false"/>
          <w:color w:val="000000"/>
          <w:sz w:val="22"/>
        </w:rPr>
        <w:t>For TTY access, dial 711 + [auditor’s office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21.50(11)</w:t>
      </w:r>
      <w:r>
        <w:rPr>
          <w:rFonts w:ascii="Times New Roman" w:hAnsi="Times New Roman"/>
          <w:b w:val="false"/>
          <w:i w:val="false"/>
          <w:color w:val="000000"/>
          <w:sz w:val="22"/>
        </w:rPr>
        <w:t> </w:t>
      </w:r>
      <w:r>
        <w:rPr>
          <w:rFonts w:ascii="Times New Roman" w:hAnsi="Times New Roman"/>
          <w:b w:val="false"/>
          <w:i/>
          <w:color w:val="000000"/>
          <w:sz w:val="22"/>
        </w:rPr>
        <w:t xml:space="preserve">Denial of waiver requests. </w:t>
      </w:r>
      <w:r>
        <w:rPr>
          <w:rFonts w:ascii="Times New Roman" w:hAnsi="Times New Roman"/>
          <w:b w:val="false"/>
          <w:i w:val="false"/>
          <w:color w:val="000000"/>
          <w:sz w:val="22"/>
        </w:rPr>
        <w:t>The secretary of state shall review each waiver request. The secretary of state shall consider the totality of the circumstances as shown by the information on the waiver request, information contained in previous applications for waivers for the same precinct and for other precincts in the county, and other relevant available information. The waiver request may be denied if it appears that the commissioner has not made a good-faith effort to find an accessible polling place. If the waiver request is denied, the secretary of state shall notify the commissioner in writing of the reason for denying the request.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49.21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9879B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1.21.50.pdf" Type="http://schemas.openxmlformats.org/officeDocument/2006/relationships/hyperlink" Id="rId4"/>
    <Relationship TargetMode="External" Target="https://www.legis.iowa.gov/docs/iac/chapter/721.10.pdf" Type="http://schemas.openxmlformats.org/officeDocument/2006/relationships/hyperlink" Id="rId5"/>
    <Relationship TargetMode="External" Target="https://www.legis.iowa.gov/docs/ico/chapter/49.53.pdf" Type="http://schemas.openxmlformats.org/officeDocument/2006/relationships/hyperlink" Id="rId6"/>
    <Relationship TargetMode="External" Target="https://www.legis.iowa.gov/docs/ico/chapter/49.2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