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declarations in the election register.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compensate for the absence of a separate declaration of eligibility form, the commissioner shall provide to each precinct a voter roster with space for each person who appears at the precinct to vote to print the following information: first and last name, address, date of birth, and, at the voter’s option, telephone number, and, in primary elections, political party affiliation.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roster forms shall include the name and date of the election and the name of the precinct, and may be provided on paper that makes carbonless copies. If a multicopy form is used, the commissioner shall retain the original copy of the voter roster with other records of the election.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49.77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8/26/09, effective 7/27/09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11/8/17, effective 12/31/17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9.7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