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721—21.404</w:t>
      </w:r>
      <w:r>
        <w:rPr>
          <w:rFonts w:ascii="Times New Roman" w:hAnsi="Times New Roman"/>
          <w:b/>
          <w:i w:val="false"/>
          <w:color w:val="000000"/>
          <w:sz w:val="22"/>
        </w:rPr>
        <w:t xml:space="preserve">(372) </w:t>
      </w:r>
      <w:r>
        <w:rPr>
          <w:rFonts w:ascii="Times New Roman" w:hAnsi="Times New Roman"/>
          <w:b/>
          <w:i w:val="false"/>
          <w:color w:val="000000"/>
          <w:sz w:val="22"/>
        </w:rPr>
        <w:t xml:space="preserve">Special elections to fill vacancies in elective city offices for cities without primary election requirements. </w:t>
      </w:r>
      <w:r>
        <w:rPr>
          <w:rFonts w:ascii="Times New Roman" w:hAnsi="Times New Roman"/>
          <w:b w:val="false"/>
          <w:i w:val="false"/>
          <w:color w:val="000000"/>
          <w:sz w:val="22"/>
        </w:rPr>
        <w:t xml:space="preserve">This rule applies to cities that have adopted by ordinance one of the following options: nominations under Iowa Code chapter </w:t>
      </w:r>
      <w:hyperlink r:id="rId4">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or chapter </w:t>
      </w:r>
      <w:hyperlink r:id="rId5">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or a runoff election requirement if no candidate in the special election receives a majority of the votes cast.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21.404(1)</w:t>
      </w:r>
      <w:r>
        <w:rPr>
          <w:rFonts w:ascii="Times New Roman" w:hAnsi="Times New Roman"/>
          <w:b w:val="false"/>
          <w:i w:val="false"/>
          <w:color w:val="000000"/>
          <w:sz w:val="22"/>
        </w:rPr>
        <w:t> </w:t>
      </w:r>
      <w:r>
        <w:rPr>
          <w:rFonts w:ascii="Times New Roman" w:hAnsi="Times New Roman"/>
          <w:b w:val="false"/>
          <w:i/>
          <w:color w:val="000000"/>
          <w:sz w:val="22"/>
        </w:rPr>
        <w:t xml:space="preserve">Notice to the commissioner. </w:t>
      </w:r>
      <w:r>
        <w:rPr>
          <w:rFonts w:ascii="Times New Roman" w:hAnsi="Times New Roman"/>
          <w:b w:val="false"/>
          <w:i w:val="false"/>
          <w:color w:val="000000"/>
          <w:sz w:val="22"/>
        </w:rPr>
        <w:t>At least 32 days before the proposed date of the special election, the city council shall give written notice to the commissioner who will be responsible for conducting the special election. If the commissioner finds no conflict with other previously scheduled elections, or with other limitations on the dates of special elections, the commissioner shall immediately notify the council that the date has been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21.404(2)</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elections to fill vacancies held in conjunction with the general election. </w:t>
      </w:r>
      <w:r>
        <w:rPr>
          <w:rFonts w:ascii="Times New Roman" w:hAnsi="Times New Roman"/>
          <w:b w:val="false"/>
          <w:i w:val="false"/>
          <w:color w:val="000000"/>
          <w:sz w:val="22"/>
        </w:rPr>
        <w:t>If the proposed date of the special election coincides with the date of the general election, the council shall give notice of the proposed date of the special city election not later than 76 days before the date of the general election. Candidates shall file nomination papers with the county commissioner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sixty-ninth day before the general election. Objection and withdrawal deadlines shall be 64 days before the general election. Hearings on objections shall be held as soon as possible in order to facilitate printing of the general election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21.404(3)</w:t>
      </w:r>
      <w:r>
        <w:rPr>
          <w:rFonts w:ascii="Times New Roman" w:hAnsi="Times New Roman"/>
          <w:b w:val="false"/>
          <w:i w:val="false"/>
          <w:color w:val="000000"/>
          <w:sz w:val="22"/>
        </w:rPr>
        <w:t> </w:t>
      </w:r>
      <w:r>
        <w:rPr>
          <w:rFonts w:ascii="Times New Roman" w:hAnsi="Times New Roman"/>
          <w:b w:val="false"/>
          <w:i/>
          <w:color w:val="000000"/>
          <w:sz w:val="22"/>
        </w:rPr>
        <w:t xml:space="preserve">Election calendar. </w:t>
      </w:r>
      <w:r>
        <w:rPr>
          <w:rFonts w:ascii="Times New Roman" w:hAnsi="Times New Roman"/>
          <w:b w:val="false"/>
          <w:i w:val="false"/>
          <w:color w:val="000000"/>
          <w:sz w:val="22"/>
        </w:rPr>
        <w:t>If the special election date is not the same as the date of the general election, the election calendar shall be adjusted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deadline for candidates to file nomination papers with the county commissioner shall be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twenty-fifth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candidate who has filed nomination papers for the special election may withdraw by filing a written notice of withdrawal in the office of the county commissioner not later than 5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twenty-second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would have the right to vote for the office in question may file a written objection to the legal sufficiency of a candidate’s nomination papers or to the qualifications of the candidate for this special election with the county commissioner not later than 12 noon on the twenty-second day before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hearing on the objection must be held within 24 hours of receipt of the objection.</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372.13(2)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1549C</w:t>
      </w:r>
      <w:r>
        <w:rPr>
          <w:rFonts w:ascii="Times New Roman" w:hAnsi="Times New Roman"/>
          <w:b w:val="false"/>
          <w:i w:val="false"/>
          <w:color w:val="000000"/>
          <w:sz w:val="16"/>
        </w:rPr>
        <w:t>, IAB 7/23/14, effective 8/27/14</w:t>
      </w:r>
      <w:r>
        <w:rPr>
          <w:rFonts w:ascii="Times New Roman" w:hAnsi="Times New Roman"/>
          <w:b w:val="false"/>
          <w:i w:val="false"/>
          <w:color w:val="000000"/>
          <w:sz w:val="16"/>
        </w:rPr>
        <w:t xml:space="preserve">; </w:t>
      </w:r>
      <w:r>
        <w:rPr>
          <w:rFonts w:ascii="Times New Roman" w:hAnsi="Times New Roman"/>
          <w:b/>
          <w:i w:val="false"/>
          <w:color w:val="000000"/>
          <w:sz w:val="16"/>
        </w:rPr>
        <w:t>ARC 1831C</w:t>
      </w:r>
      <w:r>
        <w:rPr>
          <w:rFonts w:ascii="Times New Roman" w:hAnsi="Times New Roman"/>
          <w:b w:val="false"/>
          <w:i w:val="false"/>
          <w:color w:val="000000"/>
          <w:sz w:val="16"/>
        </w:rPr>
        <w:t>, IAB 1/21/15, effective 2/25/15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4.pdf" Type="http://schemas.openxmlformats.org/officeDocument/2006/relationships/hyperlink" Id="rId4"/>
    <Relationship TargetMode="External" Target="https://www.legis.iowa.gov/docs/ico/chapter/45.pdf" Type="http://schemas.openxmlformats.org/officeDocument/2006/relationships/hyperlink" Id="rId5"/>
    <Relationship TargetMode="External" Target="https://www.legis.iowa.gov/docs/ico/chapter/372.1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