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(372)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Filing deadline for charter commission appointment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special election has been called by a city to present to the voters the question of adopting a different form of city government, receipt by the city council of a petition requesting appointment of a charter commission shall stay the special election if the petition is received no later than 5 p.m.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Friday preceding the date of the special election.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372.3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72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