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721—21.400</w:t>
      </w:r>
      <w:r>
        <w:rPr>
          <w:rFonts w:ascii="Times New Roman" w:hAnsi="Times New Roman"/>
          <w:b/>
          <w:i w:val="false"/>
          <w:color w:val="000000"/>
          <w:sz w:val="22"/>
        </w:rPr>
        <w:t xml:space="preserve">(376) </w:t>
      </w:r>
      <w:r>
        <w:rPr>
          <w:rFonts w:ascii="Times New Roman" w:hAnsi="Times New Roman"/>
          <w:b/>
          <w:i w:val="false"/>
          <w:color w:val="000000"/>
          <w:sz w:val="22"/>
        </w:rPr>
        <w:t xml:space="preserve">Signature requirements for certain cities. </w:t>
      </w:r>
      <w:r>
        <w:rPr>
          <w:rFonts w:ascii="Times New Roman" w:hAnsi="Times New Roman"/>
          <w:b w:val="false"/>
          <w:i w:val="false"/>
          <w:color w:val="000000"/>
          <w:sz w:val="22"/>
        </w:rPr>
        <w:t>This rule applies to cities which have all of the following characteristics: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 xml:space="preserve">Nomination procedures under Iowa Code section </w:t>
      </w:r>
      <w:hyperlink r:id="rId4">
        <w:r>
          <w:rPr>
            <w:rStyle w:val="Hyperlink"/>
            <w:rFonts w:ascii="Times New Roman" w:hAnsi="Times New Roman"/>
            <w:b w:val="false"/>
            <w:i w:val="false"/>
            <w:color w:val="000000"/>
            <w:sz w:val="22"/>
          </w:rPr>
          <w:t>376.3</w:t>
        </w:r>
      </w:hyperlink>
      <w:r>
        <w:rPr>
          <w:rFonts w:ascii="Times New Roman" w:hAnsi="Times New Roman"/>
          <w:b w:val="false"/>
          <w:i w:val="false"/>
          <w:color w:val="000000"/>
          <w:sz w:val="22"/>
        </w:rPr>
        <w:t xml:space="preserve"> are used. (This includes cities with primary or runoff election provisions. It does not include cities with nominations under Iowa Code chapter </w:t>
      </w:r>
      <w:hyperlink r:id="rId5">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Some or all council members are voted upon by the electors of wards, rather than by the electors of the entire city.</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Ward boundaries have been changed since the last regular city election at which the ward seat was on the ballot.</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number of wards has not changed.</w:t>
      </w:r>
    </w:p>
    <w:p>
      <w:pPr>
        <w:spacing w:before="0" w:after="0"/>
        <w:ind w:left="120"/>
        <w:jc w:val="left"/>
      </w:pPr>
      <w:r>
        <w:rPr>
          <w:rFonts w:ascii="Times New Roman" w:hAnsi="Times New Roman"/>
          <w:b w:val="false"/>
          <w:i w:val="false"/>
          <w:color w:val="000000"/>
          <w:sz w:val="22"/>
        </w:rPr>
        <w:t>Calculation of the number of signatures for ward seats shall use the vote totals from the wards as the wards were configured at the time of the last regular city election at which the ward seat was on the ballot.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76.3.pdf" Type="http://schemas.openxmlformats.org/officeDocument/2006/relationships/hyperlink" Id="rId4"/>
    <Relationship TargetMode="External" Target="https://www.legis.iowa.gov/docs/ico/chapter/44.pdf" Type="http://schemas.openxmlformats.org/officeDocument/2006/relationships/hyperlink" Id="rId5"/>
    <Relationship TargetMode="External" Target="https://www.legis.iowa.gov/docs/ico/chapter/45.pdf" Type="http://schemas.openxmlformats.org/officeDocument/2006/relationships/hyperlink" Id="rId6"/>
    <Relationship TargetMode="External" Target="https://www.legis.iowa.gov/docs/ico/chapter/376.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