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721—21.4</w:t>
      </w:r>
      <w:r>
        <w:rPr>
          <w:rFonts w:ascii="Times New Roman" w:hAnsi="Times New Roman"/>
          <w:b/>
          <w:i w:val="false"/>
          <w:color w:val="000000"/>
          <w:sz w:val="22"/>
        </w:rPr>
        <w:t xml:space="preserve">(49) </w:t>
      </w:r>
      <w:r>
        <w:rPr>
          <w:rFonts w:ascii="Times New Roman" w:hAnsi="Times New Roman"/>
          <w:b/>
          <w:i w:val="false"/>
          <w:color w:val="000000"/>
          <w:sz w:val="22"/>
        </w:rPr>
        <w:t xml:space="preserve">Changes of address at the polls. </w:t>
      </w:r>
      <w:r>
        <w:rPr>
          <w:rFonts w:ascii="Times New Roman" w:hAnsi="Times New Roman"/>
          <w:b w:val="false"/>
          <w:i w:val="false"/>
          <w:color w:val="000000"/>
          <w:sz w:val="22"/>
        </w:rPr>
        <w:t>An Iowa voter who has moved from one precinct to another in the county where the person is registered to vote may report a change of address at the polls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val="false"/>
          <w:color w:val="000000"/>
          <w:sz w:val="22"/>
        </w:rPr>
        <w:t>To qualify to vote in the election being held that day, the voter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Go to the polling place for the precinct where the voter lives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 registration form showing the person’s current address in the precinct.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Present proof of residence and identity as required by subrules </w:t>
      </w:r>
      <w:hyperlink r:id="rId4">
        <w:r>
          <w:rPr>
            <w:rStyle w:val="Hyperlink"/>
            <w:rFonts w:ascii="Times New Roman" w:hAnsi="Times New Roman"/>
            <w:b w:val="false"/>
            <w:i w:val="false"/>
            <w:color w:val="000000"/>
            <w:sz w:val="22"/>
          </w:rPr>
          <w:t>21.3(1)</w:t>
        </w:r>
      </w:hyperlink>
      <w:r>
        <w:rPr>
          <w:rFonts w:ascii="Times New Roman" w:hAnsi="Times New Roman"/>
          <w:b w:val="false"/>
          <w:i w:val="false"/>
          <w:color w:val="000000"/>
          <w:sz w:val="22"/>
        </w:rPr>
        <w:t xml:space="preserve"> through </w:t>
      </w:r>
      <w:hyperlink r:id="rId5">
        <w:r>
          <w:rPr>
            <w:rStyle w:val="Hyperlink"/>
            <w:rFonts w:ascii="Times New Roman" w:hAnsi="Times New Roman"/>
            <w:b w:val="false"/>
            <w:i w:val="false"/>
            <w:color w:val="000000"/>
            <w:sz w:val="22"/>
          </w:rPr>
          <w:t>21.3(4)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val="false"/>
          <w:color w:val="000000"/>
          <w:sz w:val="22"/>
        </w:rPr>
        <w:t>The officials shall require a person who is reporting a change of address at the polls to cast a provisional ballot if the person’s registration in the county cannot be confirmed. Registration may be confirmed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Telephoning the office of the county commissioner of elections,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Reviewing a printed list of all registered voters who are qualified to vote in the county for the election being held that day,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Researching the county’s voter registration records using a computer.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val="false"/>
          <w:color w:val="000000"/>
          <w:sz w:val="22"/>
        </w:rPr>
        <w:t xml:space="preserve">In precincts where the voter’s declaration of eligibility is included in the election register pursuant to rule </w:t>
      </w:r>
      <w:hyperlink r:id="rId6">
        <w:r>
          <w:rPr>
            <w:rStyle w:val="Hyperlink"/>
            <w:rFonts w:ascii="Times New Roman" w:hAnsi="Times New Roman"/>
            <w:b w:val="false"/>
            <w:i w:val="false"/>
            <w:color w:val="000000"/>
            <w:sz w:val="22"/>
          </w:rPr>
          <w:t>721—21.5(49)</w:t>
        </w:r>
      </w:hyperlink>
      <w:r>
        <w:rPr>
          <w:rFonts w:ascii="Times New Roman" w:hAnsi="Times New Roman"/>
          <w:b w:val="false"/>
          <w:i w:val="false"/>
          <w:color w:val="000000"/>
          <w:sz w:val="22"/>
        </w:rPr>
        <w:t xml:space="preserve"> and Iowa Code section </w:t>
      </w:r>
      <w:hyperlink r:id="rId7">
        <w:r>
          <w:rPr>
            <w:rStyle w:val="Hyperlink"/>
            <w:rFonts w:ascii="Times New Roman" w:hAnsi="Times New Roman"/>
            <w:b w:val="false"/>
            <w:i w:val="false"/>
            <w:color w:val="000000"/>
            <w:sz w:val="22"/>
          </w:rPr>
          <w:t>49.77</w:t>
        </w:r>
      </w:hyperlink>
      <w:r>
        <w:rPr>
          <w:rFonts w:ascii="Times New Roman" w:hAnsi="Times New Roman"/>
          <w:b w:val="false"/>
          <w:i w:val="false"/>
          <w:color w:val="000000"/>
          <w:sz w:val="22"/>
        </w:rPr>
        <w:t>, the commissioner shall provide to each precinct one of the two following methods for recording changes of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voter shall be given both an eligibility declaration and a voter registration form. The eligibility declaration may be printed on the same piece of paper as the voter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provide blank lines on the election register for the precinct election officials to record the voter’s name, address, and, if provided, telephone number, and, in primary elections, political party affiliation. The voter shall sign the election register next to the printed information. The voter shall also complete a voter registration form showing the voter’s current address.</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49.77</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21.21.3.pdf" Type="http://schemas.openxmlformats.org/officeDocument/2006/relationships/hyperlink" Id="rId4"/>
    <Relationship TargetMode="External" Target="https://www.legis.iowa.gov/docs/iac/rule/721.21.3.pdf" Type="http://schemas.openxmlformats.org/officeDocument/2006/relationships/hyperlink" Id="rId5"/>
    <Relationship TargetMode="External" Target="https://www.legis.iowa.gov/docs/iac/rule/721.21.5.pdf" Type="http://schemas.openxmlformats.org/officeDocument/2006/relationships/hyperlink" Id="rId6"/>
    <Relationship TargetMode="External" Target="https://www.legis.iowa.gov/docs/ico/chapter/49.77.pdf" Type="http://schemas.openxmlformats.org/officeDocument/2006/relationships/hyperlink" Id="rId7"/>
    <Relationship TargetMode="External" Target="https://www.legis.iowa.gov/docs/ico/chapter/49.77.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