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721—21.355</w:t>
      </w:r>
      <w:r>
        <w:rPr>
          <w:rFonts w:ascii="Times New Roman" w:hAnsi="Times New Roman"/>
          <w:b/>
          <w:i w:val="false"/>
          <w:color w:val="000000"/>
          <w:sz w:val="22"/>
        </w:rPr>
        <w:t xml:space="preserve">(53) </w:t>
      </w:r>
      <w:r>
        <w:rPr>
          <w:rFonts w:ascii="Times New Roman" w:hAnsi="Times New Roman"/>
          <w:b/>
          <w:i w:val="false"/>
          <w:color w:val="000000"/>
          <w:sz w:val="22"/>
        </w:rPr>
        <w:t xml:space="preserve">Notice to voter. </w:t>
      </w:r>
      <w:r>
        <w:rPr>
          <w:rFonts w:ascii="Times New Roman" w:hAnsi="Times New Roman"/>
          <w:b w:val="false"/>
          <w:i w:val="false"/>
          <w:color w:val="000000"/>
          <w:sz w:val="22"/>
        </w:rPr>
        <w:t>When the commissioner finds an incomplete absentee ballot affidavit or finds a defective envelope marked with the affidavit, the commissioner shall notify the voter in writing and, if possible, by telephone and by email. The commissioner shall keep a separate checklist for each voter showing the reasons for which the voter was contacted and the methods used to contact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21.355(1)</w:t>
      </w:r>
      <w:r>
        <w:rPr>
          <w:rFonts w:ascii="Times New Roman" w:hAnsi="Times New Roman"/>
          <w:b w:val="false"/>
          <w:i w:val="false"/>
          <w:color w:val="000000"/>
          <w:sz w:val="22"/>
        </w:rPr>
        <w:t> </w:t>
      </w:r>
      <w:r>
        <w:rPr>
          <w:rFonts w:ascii="Times New Roman" w:hAnsi="Times New Roman"/>
          <w:b w:val="false"/>
          <w:i/>
          <w:color w:val="000000"/>
          <w:sz w:val="22"/>
        </w:rPr>
        <w:t xml:space="preserve">Notice to voter—incomplete ballot affidavit. </w:t>
      </w:r>
      <w:r>
        <w:rPr>
          <w:rFonts w:ascii="Times New Roman" w:hAnsi="Times New Roman"/>
          <w:b w:val="false"/>
          <w:i w:val="false"/>
          <w:color w:val="000000"/>
          <w:sz w:val="22"/>
        </w:rPr>
        <w:t>Within 24 hours after receipt of an absentee ballot with an incomplete affidavit, the commissioner shall send a notice to the voter at the address where the voter is registered to vote, as well as to the address where the ballot was sent, if it is a different address.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Explanation that the voter’s absentee ballot affidavit is missing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completing the affidavit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the affidavit at the commissioner’s office by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Requesting a replacement ballot pursuant to Iowa Code section </w:t>
      </w:r>
      <w:hyperlink r:id="rId4">
        <w:r>
          <w:rPr>
            <w:rStyle w:val="Hyperlink"/>
            <w:rFonts w:ascii="Times New Roman" w:hAnsi="Times New Roman"/>
            <w:b w:val="false"/>
            <w:i w:val="false"/>
            <w:color w:val="000000"/>
            <w:sz w:val="22"/>
          </w:rPr>
          <w:t>53.18</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Voting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21.355(2)</w:t>
      </w:r>
      <w:r>
        <w:rPr>
          <w:rFonts w:ascii="Times New Roman" w:hAnsi="Times New Roman"/>
          <w:b w:val="false"/>
          <w:i w:val="false"/>
          <w:color w:val="000000"/>
          <w:sz w:val="22"/>
        </w:rPr>
        <w:t> </w:t>
      </w:r>
      <w:r>
        <w:rPr>
          <w:rFonts w:ascii="Times New Roman" w:hAnsi="Times New Roman"/>
          <w:b w:val="false"/>
          <w:i/>
          <w:color w:val="000000"/>
          <w:sz w:val="22"/>
        </w:rPr>
        <w:t xml:space="preserve">Notice to voter—defective ballot affidavit. </w:t>
      </w:r>
      <w:r>
        <w:rPr>
          <w:rFonts w:ascii="Times New Roman" w:hAnsi="Times New Roman"/>
          <w:b w:val="false"/>
          <w:i w:val="false"/>
          <w:color w:val="000000"/>
          <w:sz w:val="22"/>
        </w:rPr>
        <w:t>Immediately after determining that an absentee ballot envelope marked with the affidavit is defective, the commissioner shall send a notice to the voter at the address where the voter is registered to vote, as well as to the address where the ballot was sent, if it is a different address. The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 for defect.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correcting the defect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voter may request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voter may vote at the polls on election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absentee ballot becomes defective because a voter reregisters to vote in a new precinct or county after casting an absentee ballot, the voter may correct the defect by reregistering to vote in the precinct in which the absentee ballot was cast, provided the voter can still claim residence for voter registration purposes in the precinct in which the absentee ballot was cast pursuant to Iowa Code sections </w:t>
      </w:r>
      <w:hyperlink r:id="rId5">
        <w:r>
          <w:rPr>
            <w:rStyle w:val="Hyperlink"/>
            <w:rFonts w:ascii="Times New Roman" w:hAnsi="Times New Roman"/>
            <w:b w:val="false"/>
            <w:i w:val="false"/>
            <w:color w:val="000000"/>
            <w:sz w:val="22"/>
          </w:rPr>
          <w:t>48A.5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48A.5A</w:t>
        </w:r>
      </w:hyperlink>
      <w:r>
        <w:rPr>
          <w:rFonts w:ascii="Times New Roman" w:hAnsi="Times New Roman"/>
          <w:b w:val="false"/>
          <w:i w:val="false"/>
          <w:color w:val="000000"/>
          <w:sz w:val="22"/>
        </w:rPr>
        <w:t xml:space="preserve">. If a voter reregisters after the voter registration deadline listed in Iowa Code section </w:t>
      </w:r>
      <w:hyperlink r:id="rId7">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a particular election, the voter shall be required to follow election day registration procedures as set forth in Iowa Code section </w:t>
      </w:r>
      <w:hyperlink r:id="rId8">
        <w:r>
          <w:rPr>
            <w:rStyle w:val="Hyperlink"/>
            <w:rFonts w:ascii="Times New Roman" w:hAnsi="Times New Roman"/>
            <w:b w:val="false"/>
            <w:i w:val="false"/>
            <w:color w:val="000000"/>
            <w:sz w:val="22"/>
          </w:rPr>
          <w:t>48A.7A, subsection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requesting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21.355(3)</w:t>
      </w:r>
      <w:r>
        <w:rPr>
          <w:rFonts w:ascii="Times New Roman" w:hAnsi="Times New Roman"/>
          <w:b w:val="false"/>
          <w:i w:val="false"/>
          <w:color w:val="000000"/>
          <w:sz w:val="22"/>
        </w:rPr>
        <w:t> </w:t>
      </w:r>
      <w:r>
        <w:rPr>
          <w:rFonts w:ascii="Times New Roman" w:hAnsi="Times New Roman"/>
          <w:b w:val="false"/>
          <w:i/>
          <w:color w:val="000000"/>
          <w:sz w:val="22"/>
        </w:rPr>
        <w:t xml:space="preserve">Telephone contact. </w:t>
      </w:r>
      <w:r>
        <w:rPr>
          <w:rFonts w:ascii="Times New Roman" w:hAnsi="Times New Roman"/>
          <w:b w:val="false"/>
          <w:i w:val="false"/>
          <w:color w:val="000000"/>
          <w:sz w:val="22"/>
        </w:rPr>
        <w:t>If the voter has provided a telephone number, either on the absentee ballot application or on the voter’s registration record, the commissioner shall also attempt to contact the voter by telephone. The commissioner shall keep a written record of the telephone conversation. The written record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person making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and time of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making the call spoke to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21.355(4)</w:t>
      </w:r>
      <w:r>
        <w:rPr>
          <w:rFonts w:ascii="Times New Roman" w:hAnsi="Times New Roman"/>
          <w:b w:val="false"/>
          <w:i w:val="false"/>
          <w:color w:val="000000"/>
          <w:sz w:val="22"/>
        </w:rPr>
        <w:t> </w:t>
      </w:r>
      <w:r>
        <w:rPr>
          <w:rFonts w:ascii="Times New Roman" w:hAnsi="Times New Roman"/>
          <w:b w:val="false"/>
          <w:i/>
          <w:color w:val="000000"/>
          <w:sz w:val="22"/>
        </w:rPr>
        <w:t xml:space="preserve">Email contact. </w:t>
      </w:r>
      <w:r>
        <w:rPr>
          <w:rFonts w:ascii="Times New Roman" w:hAnsi="Times New Roman"/>
          <w:b w:val="false"/>
          <w:i w:val="false"/>
          <w:color w:val="000000"/>
          <w:sz w:val="22"/>
        </w:rPr>
        <w:t>If the voter has provided an email address, either on the absentee ballot application or on the voter’s registration record, the commissioner shall also attempt to contact the voter by email. The email message shall be the same message that was mailed to the voter. A copy of the email message shall be attached to the checklist.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18.pdf" Type="http://schemas.openxmlformats.org/officeDocument/2006/relationships/hyperlink" Id="rId4"/>
    <Relationship TargetMode="External" Target="https://www.legis.iowa.gov/docs/ico/chapter/48A.5.pdf" Type="http://schemas.openxmlformats.org/officeDocument/2006/relationships/hyperlink" Id="rId5"/>
    <Relationship TargetMode="External" Target="https://www.legis.iowa.gov/docs/ico/chapter/48A.5A.pdf" Type="http://schemas.openxmlformats.org/officeDocument/2006/relationships/hyperlink" Id="rId6"/>
    <Relationship TargetMode="External" Target="https://www.legis.iowa.gov/docs/ico/chapter/48A.9.pdf" Type="http://schemas.openxmlformats.org/officeDocument/2006/relationships/hyperlink" Id="rId7"/>
    <Relationship TargetMode="External" Target="https://www.legis.iowa.gov/docs/ico/chapter/48A.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