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721—21.354</w:t>
      </w:r>
      <w:r>
        <w:rPr>
          <w:rFonts w:ascii="Times New Roman" w:hAnsi="Times New Roman"/>
          <w:b/>
          <w:i w:val="false"/>
          <w:color w:val="000000"/>
          <w:sz w:val="22"/>
        </w:rPr>
        <w:t xml:space="preserve">(53) </w:t>
      </w:r>
      <w:r>
        <w:rPr>
          <w:rFonts w:ascii="Times New Roman" w:hAnsi="Times New Roman"/>
          <w:b/>
          <w:i w:val="false"/>
          <w:color w:val="000000"/>
          <w:sz w:val="22"/>
        </w:rPr>
        <w:t xml:space="preserve">Review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21.354(1)</w:t>
      </w:r>
      <w:r>
        <w:rPr>
          <w:rFonts w:ascii="Times New Roman" w:hAnsi="Times New Roman"/>
          <w:b w:val="false"/>
          <w:i w:val="false"/>
          <w:color w:val="000000"/>
          <w:sz w:val="22"/>
        </w:rPr>
        <w:t> </w:t>
      </w:r>
      <w:r>
        <w:rPr>
          <w:rFonts w:ascii="Times New Roman" w:hAnsi="Times New Roman"/>
          <w:b w:val="false"/>
          <w:i/>
          <w:color w:val="000000"/>
          <w:sz w:val="22"/>
        </w:rPr>
        <w:t xml:space="preserve">Examination of envelope marked with affidavit. </w:t>
      </w:r>
      <w:r>
        <w:rPr>
          <w:rFonts w:ascii="Times New Roman" w:hAnsi="Times New Roman"/>
          <w:b w:val="false"/>
          <w:i w:val="false"/>
          <w:color w:val="000000"/>
          <w:sz w:val="22"/>
        </w:rPr>
        <w:t>The reviewer shall make sure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envelope marked with the affidavit is sealed, apparently with the ballot inside.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envelope marked with the affidavit has not been opened and resealed.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affidavit includes the voter’s signature.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21.354(2)</w:t>
      </w:r>
      <w:r>
        <w:rPr>
          <w:rFonts w:ascii="Times New Roman" w:hAnsi="Times New Roman"/>
          <w:b w:val="false"/>
          <w:i w:val="false"/>
          <w:color w:val="000000"/>
          <w:sz w:val="22"/>
        </w:rPr>
        <w:t> </w:t>
      </w:r>
      <w:r>
        <w:rPr>
          <w:rFonts w:ascii="Times New Roman" w:hAnsi="Times New Roman"/>
          <w:b w:val="false"/>
          <w:i/>
          <w:color w:val="000000"/>
          <w:sz w:val="22"/>
        </w:rPr>
        <w:t xml:space="preserve">No defects or incomplete information. </w:t>
      </w:r>
      <w:r>
        <w:rPr>
          <w:rFonts w:ascii="Times New Roman" w:hAnsi="Times New Roman"/>
          <w:b w:val="false"/>
          <w:i w:val="false"/>
          <w:color w:val="000000"/>
          <w:sz w:val="22"/>
        </w:rPr>
        <w:t>If the reviewer finds that the affidavit is signed and that there are no defects that would cause the absentee and special voters precinct board to reject the ballot, the reviewer shall put the envelope marked with the affidavit into a group of envelopes to be retained in the secure storage area with other ballots that require no further attention until they are delivered to the absentee and special voters precinct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21.354(3)</w:t>
      </w:r>
      <w:r>
        <w:rPr>
          <w:rFonts w:ascii="Times New Roman" w:hAnsi="Times New Roman"/>
          <w:b w:val="false"/>
          <w:i w:val="false"/>
          <w:color w:val="000000"/>
          <w:sz w:val="22"/>
        </w:rPr>
        <w:t> </w:t>
      </w:r>
      <w:r>
        <w:rPr>
          <w:rFonts w:ascii="Times New Roman" w:hAnsi="Times New Roman"/>
          <w:b w:val="false"/>
          <w:i/>
          <w:color w:val="000000"/>
          <w:sz w:val="22"/>
        </w:rPr>
        <w:t xml:space="preserve">Defective and incomplete affidavits. </w:t>
      </w:r>
      <w:r>
        <w:rPr>
          <w:rFonts w:ascii="Times New Roman" w:hAnsi="Times New Roman"/>
          <w:b w:val="false"/>
          <w:i w:val="false"/>
          <w:color w:val="000000"/>
          <w:sz w:val="22"/>
        </w:rPr>
        <w:t>The commissioner shall contact the voter if the reviewer finds any of the following flaws in the affidavit or envelope marked with the affidavit: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commissioner shall contact the voter immediately if the envelope marked with the affidavit is defective. An envelope marked with the affidavit is defective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absentee ballot is not enclosed in the envelope marked with the affidavit.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envelope marked with the affidavit is not sealed.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envelope marked with the affidavit has been opened and resealed.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voter submits a change of address in a new precinct after returning a voted absentee ballot.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commissioner shall contact the voter within 24 hours if the affidavit is not signed.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envelope marked with the affidavit has flaws that are included in both paragraphs </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the commissioner shall follow the process in paragraph </w:t>
      </w:r>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21.354(4)</w:t>
      </w:r>
      <w:r>
        <w:rPr>
          <w:rFonts w:ascii="Times New Roman" w:hAnsi="Times New Roman"/>
          <w:b w:val="false"/>
          <w:i w:val="false"/>
          <w:color w:val="000000"/>
          <w:sz w:val="22"/>
        </w:rPr>
        <w:t> </w:t>
      </w:r>
      <w:r>
        <w:rPr>
          <w:rFonts w:ascii="Times New Roman" w:hAnsi="Times New Roman"/>
          <w:b w:val="false"/>
          <w:i/>
          <w:color w:val="000000"/>
          <w:sz w:val="22"/>
        </w:rPr>
        <w:t xml:space="preserve">Defective and incomplete affidavits stored separately. </w:t>
      </w:r>
      <w:r>
        <w:rPr>
          <w:rFonts w:ascii="Times New Roman" w:hAnsi="Times New Roman"/>
          <w:b w:val="false"/>
          <w:i w:val="false"/>
          <w:color w:val="000000"/>
          <w:sz w:val="22"/>
        </w:rPr>
        <w:t>The commissioner shall store the defective and incomplete envelopes marked with affidavits separately from other returned absentee ballot envelopes marked with affidavits.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Incomplete envelopes marked with affidavits requiring voter correction must be available for retrieval when the voter comes to make corrections.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Defective envelopes marked with affidavits must be attached to the replacement ballot (if any) for review by the absentee and special voters precinct board.</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8045B</w:t>
      </w:r>
      <w:r>
        <w:rPr>
          <w:rFonts w:ascii="Times New Roman" w:hAnsi="Times New Roman"/>
          <w:b w:val="false"/>
          <w:i w:val="false"/>
          <w:color w:val="000000"/>
          <w:sz w:val="16"/>
        </w:rPr>
        <w:t>, IAB 8/26/09, effective 7/27/09</w:t>
      </w:r>
      <w:r>
        <w:rPr>
          <w:rFonts w:ascii="Times New Roman" w:hAnsi="Times New Roman"/>
          <w:b w:val="false"/>
          <w:i w:val="false"/>
          <w:color w:val="000000"/>
          <w:sz w:val="16"/>
        </w:rPr>
        <w:t xml:space="preserve">; </w:t>
      </w:r>
      <w:r>
        <w:rPr>
          <w:rFonts w:ascii="Times New Roman" w:hAnsi="Times New Roman"/>
          <w:b/>
          <w:i w:val="false"/>
          <w:color w:val="000000"/>
          <w:sz w:val="16"/>
        </w:rPr>
        <w:t>ARC 8779B</w:t>
      </w:r>
      <w:r>
        <w:rPr>
          <w:rFonts w:ascii="Times New Roman" w:hAnsi="Times New Roman"/>
          <w:b w:val="false"/>
          <w:i w:val="false"/>
          <w:color w:val="000000"/>
          <w:sz w:val="16"/>
        </w:rPr>
        <w:t>, IAB 6/2/10, effective 7/1/10</w:t>
      </w:r>
      <w:r>
        <w:rPr>
          <w:rFonts w:ascii="Times New Roman" w:hAnsi="Times New Roman"/>
          <w:b w:val="false"/>
          <w:i w:val="false"/>
          <w:color w:val="000000"/>
          <w:sz w:val="16"/>
        </w:rPr>
        <w:t xml:space="preserve">; </w:t>
      </w:r>
      <w:r>
        <w:rPr>
          <w:rFonts w:ascii="Times New Roman" w:hAnsi="Times New Roman"/>
          <w:b/>
          <w:i w:val="false"/>
          <w:color w:val="000000"/>
          <w:sz w:val="16"/>
        </w:rPr>
        <w:t>ARC 1549C</w:t>
      </w:r>
      <w:r>
        <w:rPr>
          <w:rFonts w:ascii="Times New Roman" w:hAnsi="Times New Roman"/>
          <w:b w:val="false"/>
          <w:i w:val="false"/>
          <w:color w:val="000000"/>
          <w:sz w:val="16"/>
        </w:rPr>
        <w:t>, IAB 7/23/14, effective 8/27/14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