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721—21.351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Receiving absentee ballots.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commissioner shall carefully account for and protect all absentee ballots returned to the office.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21.351(1)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Note receipt.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commissioner shall write or file-stamp on the return carrier envelope the date that the ballot arrived in the commissioner’s office. The commissioner shall also record receipt of the ballot in I-Voters.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21.351(2)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Temporary storage.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necessary, the commissioner shall immediately put the ballot into a secure container, such as a locked ballot box, until the ballots can be moved to the secure storage area.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21.351(3)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Secure area.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commissioner shall deliver the ballots to a secure area where returned absentee ballots will be reviewed for completeness and defects.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8779B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6/2/10, effective 7/1/10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