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721—21.31</w:t>
      </w:r>
      <w:r>
        <w:rPr>
          <w:rFonts w:ascii="Times New Roman" w:hAnsi="Times New Roman"/>
          <w:b/>
          <w:i w:val="false"/>
          <w:color w:val="000000"/>
          <w:sz w:val="22"/>
        </w:rPr>
        <w:t xml:space="preserve">(275) </w:t>
      </w:r>
      <w:r>
        <w:rPr>
          <w:rFonts w:ascii="Times New Roman" w:hAnsi="Times New Roman"/>
          <w:b/>
          <w:i w:val="false"/>
          <w:color w:val="000000"/>
          <w:sz w:val="22"/>
        </w:rPr>
        <w:t xml:space="preserve">School director district maximum allowable deviation between director districts. </w:t>
      </w:r>
      <w:r>
        <w:rPr>
          <w:rFonts w:ascii="Times New Roman" w:hAnsi="Times New Roman"/>
          <w:b w:val="false"/>
          <w:i w:val="false"/>
          <w:color w:val="000000"/>
          <w:sz w:val="22"/>
        </w:rPr>
        <w:t xml:space="preserve">Each director district shall have a population that exceeds the population of any other director district by no more than 10 percent. Director district plans with variations in excess of 10 percent between two or more districts shall be accompanied by justification for the deviation and shall be rejected by the secretary of state unless the deviation is necessary to comply with one of the other standards enumerated in Iowa Code section </w:t>
      </w:r>
      <w:hyperlink r:id="rId4">
        <w:r>
          <w:rPr>
            <w:rStyle w:val="Hyperlink"/>
            <w:rFonts w:ascii="Times New Roman" w:hAnsi="Times New Roman"/>
            <w:b w:val="false"/>
            <w:i w:val="false"/>
            <w:color w:val="000000"/>
            <w:sz w:val="22"/>
          </w:rPr>
          <w:t>275.23A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275.23A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9559B</w:t>
      </w:r>
      <w:r>
        <w:rPr>
          <w:rFonts w:ascii="Times New Roman" w:hAnsi="Times New Roman"/>
          <w:b w:val="false"/>
          <w:i w:val="false"/>
          <w:color w:val="000000"/>
          <w:sz w:val="16"/>
        </w:rPr>
        <w:t>, IAB 6/15/11, effective 5/23/11</w:t>
      </w:r>
      <w:r>
        <w:rPr>
          <w:rFonts w:ascii="Times New Roman" w:hAnsi="Times New Roman"/>
          <w:b w:val="false"/>
          <w:i w:val="false"/>
          <w:color w:val="000000"/>
          <w:sz w:val="16"/>
        </w:rPr>
        <w:t xml:space="preserve">; </w:t>
      </w:r>
      <w:r>
        <w:rPr>
          <w:rFonts w:ascii="Times New Roman" w:hAnsi="Times New Roman"/>
          <w:b/>
          <w:i w:val="false"/>
          <w:color w:val="000000"/>
          <w:sz w:val="16"/>
        </w:rPr>
        <w:t>ARC 9891B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5.23A.pdf" Type="http://schemas.openxmlformats.org/officeDocument/2006/relationships/hyperlink" Id="rId4"/>
    <Relationship TargetMode="External" Target="https://www.legis.iowa.gov/docs/ico/chapter/275.23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