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721—21.307</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drop boxes.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21.307(1)</w:t>
      </w:r>
      <w:r>
        <w:rPr>
          <w:rFonts w:ascii="Times New Roman" w:hAnsi="Times New Roman"/>
          <w:b w:val="false"/>
          <w:i w:val="false"/>
          <w:color w:val="000000"/>
          <w:sz w:val="22"/>
        </w:rPr>
        <w:t> </w:t>
      </w:r>
      <w:r>
        <w:rPr>
          <w:rFonts w:ascii="Times New Roman" w:hAnsi="Times New Roman"/>
          <w:b w:val="false"/>
          <w:i/>
          <w:color w:val="000000"/>
          <w:sz w:val="22"/>
        </w:rPr>
        <w:t xml:space="preserve">Video surveillance footage retention. </w:t>
      </w:r>
      <w:r>
        <w:rPr>
          <w:rFonts w:ascii="Times New Roman" w:hAnsi="Times New Roman"/>
          <w:b w:val="false"/>
          <w:i w:val="false"/>
          <w:color w:val="000000"/>
          <w:sz w:val="22"/>
        </w:rPr>
        <w:t xml:space="preserve">Video surveillance footage recorded pursuant to Iowa Code section </w:t>
      </w:r>
      <w:hyperlink r:id="rId4">
        <w:r>
          <w:rPr>
            <w:rStyle w:val="Hyperlink"/>
            <w:rFonts w:ascii="Times New Roman" w:hAnsi="Times New Roman"/>
            <w:b w:val="false"/>
            <w:i w:val="false"/>
            <w:color w:val="000000"/>
            <w:sz w:val="22"/>
          </w:rPr>
          <w:t>53.17(1)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be maintained for a period of 22 months for elections in which a federal office appears on the ballot, and for 6 months for all other elections, or until there are no more pending contests or criminal actions, whichever is later.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21.307(2)</w:t>
      </w:r>
      <w:r>
        <w:rPr>
          <w:rFonts w:ascii="Times New Roman" w:hAnsi="Times New Roman"/>
          <w:b w:val="false"/>
          <w:i w:val="false"/>
          <w:color w:val="000000"/>
          <w:sz w:val="22"/>
        </w:rPr>
        <w:t> </w:t>
      </w:r>
      <w:r>
        <w:rPr>
          <w:rFonts w:ascii="Times New Roman" w:hAnsi="Times New Roman"/>
          <w:b w:val="false"/>
          <w:i/>
          <w:color w:val="000000"/>
          <w:sz w:val="22"/>
        </w:rPr>
        <w:t xml:space="preserve">Absentee ballot retrieval. </w:t>
      </w:r>
      <w:r>
        <w:rPr>
          <w:rFonts w:ascii="Times New Roman" w:hAnsi="Times New Roman"/>
          <w:b w:val="false"/>
          <w:i w:val="false"/>
          <w:color w:val="000000"/>
          <w:sz w:val="22"/>
        </w:rPr>
        <w:t xml:space="preserve">Materials delivered to the ballot drop box shall be retrieved in an expeditious manner, but no less often than four times per day on days in which voters may deposit a voted ballot in the ballot drop box. The ballot drop box does not need to be checked on days in which voters are unable to deposit materials into the drop box.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21.307(3)</w:t>
      </w:r>
      <w:r>
        <w:rPr>
          <w:rFonts w:ascii="Times New Roman" w:hAnsi="Times New Roman"/>
          <w:b w:val="false"/>
          <w:i w:val="false"/>
          <w:color w:val="000000"/>
          <w:sz w:val="22"/>
        </w:rPr>
        <w:t> </w:t>
      </w:r>
      <w:r>
        <w:rPr>
          <w:rFonts w:ascii="Times New Roman" w:hAnsi="Times New Roman"/>
          <w:b w:val="false"/>
          <w:i/>
          <w:color w:val="000000"/>
          <w:sz w:val="22"/>
        </w:rPr>
        <w:t xml:space="preserve">Notice to voters regarding drop box availability. </w:t>
      </w:r>
      <w:r>
        <w:rPr>
          <w:rFonts w:ascii="Times New Roman" w:hAnsi="Times New Roman"/>
          <w:b w:val="false"/>
          <w:i w:val="false"/>
          <w:color w:val="000000"/>
          <w:sz w:val="22"/>
        </w:rPr>
        <w:t xml:space="preserve">If a county is providing a ballot drop box for an election, the county shall include information regarding the ballot drop box’s availability, on a form prescribed by the state commissioner, with materials mailed to voters pursuant to Iowa Code section </w:t>
      </w:r>
      <w:hyperlink r:id="rId5">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17.pdf" Type="http://schemas.openxmlformats.org/officeDocument/2006/relationships/hyperlink" Id="rId4"/>
    <Relationship TargetMode="External" Target="https://www.legis.iowa.gov/docs/ico/chapter/53.8.pdf" Type="http://schemas.openxmlformats.org/officeDocument/2006/relationships/hyperlink" Id="rId5"/>
    <Relationship TargetMode="External" Target="https://www.legis.iowa.gov/docs/ico/chapter/53.1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