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721—21.306</w:t>
      </w:r>
      <w:r>
        <w:rPr>
          <w:rFonts w:ascii="Times New Roman" w:hAnsi="Times New Roman"/>
          <w:b/>
          <w:i w:val="false"/>
          <w:color w:val="000000"/>
          <w:sz w:val="22"/>
        </w:rPr>
        <w:t xml:space="preserve">(53) </w:t>
      </w:r>
      <w:r>
        <w:rPr>
          <w:rFonts w:ascii="Times New Roman" w:hAnsi="Times New Roman"/>
          <w:b/>
          <w:i w:val="false"/>
          <w:color w:val="000000"/>
          <w:sz w:val="22"/>
        </w:rPr>
        <w:t xml:space="preserve">Incomplete absentee ballot applications. </w:t>
      </w:r>
      <w:r>
        <w:rPr>
          <w:rFonts w:ascii="Times New Roman" w:hAnsi="Times New Roman"/>
          <w:b w:val="false"/>
          <w:i w:val="false"/>
          <w:color w:val="000000"/>
          <w:sz w:val="22"/>
        </w:rPr>
        <w:t xml:space="preserve">If the commissioner receives an absentee ballot request lacking any of the information required by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xml:space="preserve">, the commissioner shall obtain the necessary information by the best means available pursuant to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“Best means available,” for the purposes of this rule, means contacting the voter directly by mail, email, or telephone or in person. Commissioners may not use the voter registration system to obtain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21.306(1)</w:t>
      </w:r>
      <w:r>
        <w:rPr>
          <w:rFonts w:ascii="Times New Roman" w:hAnsi="Times New Roman"/>
          <w:b w:val="false"/>
          <w:i w:val="false"/>
          <w:color w:val="000000"/>
          <w:sz w:val="22"/>
        </w:rPr>
        <w:t> </w:t>
      </w:r>
      <w:r>
        <w:rPr>
          <w:rFonts w:ascii="Times New Roman" w:hAnsi="Times New Roman"/>
          <w:b w:val="false"/>
          <w:i w:val="false"/>
          <w:color w:val="000000"/>
          <w:sz w:val="22"/>
        </w:rPr>
        <w:t>If the voter does not have current access to the voter identification card, the commissioner shall verify the voter’s identity by asking the voter to provide at least two of the following facts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4">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unregistered person offering to vote an absentee ballot pursuant to Iowa Code section </w:t>
      </w:r>
      <w:hyperlink r:id="rId5">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prior to the pre-registration deadline does not have an Iowa-issued driver’s license, a nonoperator’s identification card, or a voter identification card, the person may satisfy residence and identity requirements in the manner described by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This section shall also apply to a registered voter casting a ballot pursuant to Iowa Code section </w:t>
      </w:r>
      <w:hyperlink r:id="rId7">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who has not yet received a voter verification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provision shall not apply to the absence of a preferred political party ballot for primaries held pursuant to Iowa Code section </w:t>
      </w:r>
      <w:hyperlink r:id="rId9">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2.pdf" Type="http://schemas.openxmlformats.org/officeDocument/2006/relationships/hyperlink" Id="rId4"/>
    <Relationship TargetMode="External" Target="https://www.legis.iowa.gov/docs/ico/chapter/53.10.pdf" Type="http://schemas.openxmlformats.org/officeDocument/2006/relationships/hyperlink" Id="rId5"/>
    <Relationship TargetMode="External" Target="https://www.legis.iowa.gov/docs/ico/chapter/53.11.pdf" Type="http://schemas.openxmlformats.org/officeDocument/2006/relationships/hyperlink" Id="rId6"/>
    <Relationship TargetMode="External" Target="https://www.legis.iowa.gov/docs/ico/chapter/53.10.pdf" Type="http://schemas.openxmlformats.org/officeDocument/2006/relationships/hyperlink" Id="rId7"/>
    <Relationship TargetMode="External" Target="https://www.legis.iowa.gov/docs/ico/chapter/53.11.pdf" Type="http://schemas.openxmlformats.org/officeDocument/2006/relationships/hyperlink" Id="rId8"/>
    <Relationship TargetMode="External" Target="https://www.legis.iowa.gov/docs/ico/chapter/53.2.pdf" Type="http://schemas.openxmlformats.org/officeDocument/2006/relationships/hyperlink" Id="rId9"/>
    <Relationship TargetMode="External" Target="https://www.legis.iowa.gov/docs/ico/chapter/53.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