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721—21.303</w:t>
      </w:r>
      <w:r>
        <w:rPr>
          <w:rFonts w:ascii="Times New Roman" w:hAnsi="Times New Roman"/>
          <w:b/>
          <w:i w:val="false"/>
          <w:color w:val="000000"/>
          <w:sz w:val="22"/>
        </w:rPr>
        <w:t xml:space="preserve">(53) </w:t>
      </w:r>
      <w:r>
        <w:rPr>
          <w:rFonts w:ascii="Times New Roman" w:hAnsi="Times New Roman"/>
          <w:b/>
          <w:i w:val="false"/>
          <w:color w:val="000000"/>
          <w:sz w:val="22"/>
        </w:rPr>
        <w:t xml:space="preserve">Mailing absentee ballots. </w:t>
      </w:r>
      <w:r>
        <w:rPr>
          <w:rFonts w:ascii="Times New Roman" w:hAnsi="Times New Roman"/>
          <w:b w:val="false"/>
          <w:i w:val="false"/>
          <w:color w:val="000000"/>
          <w:sz w:val="22"/>
        </w:rPr>
        <w:t>The commissioner shall mail the following materials to each person who has requested an absentee ballot:</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Ballot. The ballot that corresponds to the voter’s residence, as indicated by the residential address on the absentee ballot application.</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Public measure text. The full text of any public measures that are summarized on the ballot, but not printed in full.</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 xml:space="preserve">Secrecy envelope. Secrecy envelope, if the ballot cannot be folded to cover all of the voting ovals, as required by Iowa Code section </w:t>
      </w:r>
      <w:hyperlink r:id="rId4">
        <w:r>
          <w:rPr>
            <w:rStyle w:val="Hyperlink"/>
            <w:rFonts w:ascii="Times New Roman" w:hAnsi="Times New Roman"/>
            <w:b w:val="false"/>
            <w:i w:val="false"/>
            <w:color w:val="000000"/>
            <w:sz w:val="22"/>
          </w:rPr>
          <w:t>53.8(1)</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Affidavit envelope. The affidavit envelope, which shall be marked with the I-Voters-assigned sequence number used to identify the absentee request in the commissioner’s records.</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 xml:space="preserve">Return envelope. The return envelope, which shall be addressed to the commissioner’s office and bear appropriate return postage or a postal permit guaranteeing that the commissioner will pay the return postage and which shall be marked with the I-Voters-assigned sequence number used to identify the absentee request in the commissioner’s records. All domestic return envelope flaps or backs shall also be printed or stamped with a notice in substantially the following form: “This ballot will only be eligible for counting if it is received by the auditor’s office before the polls close on election day. Mail the ballot early to make sure it is received on time. Track the status of your absentee ballot at </w:t>
      </w:r>
      <w:hyperlink r:id="rId5">
        <w:r>
          <w:rPr>
            <w:rStyle w:val="Hyperlink"/>
            <w:rFonts w:ascii="Times New Roman" w:hAnsi="Times New Roman"/>
            <w:b w:val="false"/>
            <w:i w:val="false"/>
            <w:color w:val="000000"/>
            <w:sz w:val="22"/>
            <w:u w:val="single"/>
          </w:rPr>
          <w:t>www.sos.iowa.gov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Delivery envelope. The delivery envelope, which shall be addressed to the voter and bear the I-Voters-assigned sequence number used to identify the absentee request in the commissioner’s records. All other materials shall be enclosed in the delivery envelope.</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 xml:space="preserve">Instructions. Absentee voting instructions, which shall be in the form required by rule </w:t>
      </w:r>
      <w:hyperlink r:id="rId6">
        <w:r>
          <w:rPr>
            <w:rStyle w:val="Hyperlink"/>
            <w:rFonts w:ascii="Times New Roman" w:hAnsi="Times New Roman"/>
            <w:b w:val="false"/>
            <w:i w:val="false"/>
            <w:color w:val="000000"/>
            <w:sz w:val="22"/>
          </w:rPr>
          <w:t>721—22.250</w:t>
        </w:r>
      </w:hyperlink>
      <w:r>
        <w:rPr>
          <w:rFonts w:ascii="Times New Roman" w:hAnsi="Times New Roman"/>
          <w:b w:val="false"/>
          <w:i w:val="false"/>
          <w:color w:val="000000"/>
          <w:sz w:val="22"/>
        </w:rPr>
        <w:t>(52).</w:t>
      </w:r>
    </w:p>
    <w:p>
      <w:pPr>
        <w:spacing w:before="0" w:after="0"/>
        <w:ind w:left="120"/>
        <w:jc w:val="left"/>
      </w:pPr>
      <w:r>
        <w:rPr>
          <w:rFonts w:ascii="Times New Roman" w:hAnsi="Times New Roman"/>
          <w:b w:val="false"/>
          <w:i w:val="false"/>
          <w:color w:val="000000"/>
          <w:sz w:val="22"/>
        </w:rPr>
        <w:t>     8.   </w:t>
      </w:r>
      <w:r>
        <w:rPr>
          <w:rFonts w:ascii="Times New Roman" w:hAnsi="Times New Roman"/>
          <w:b w:val="false"/>
          <w:i w:val="false"/>
          <w:color w:val="000000"/>
          <w:sz w:val="22"/>
        </w:rPr>
        <w:t xml:space="preserve">Receipt. The receipt form required by Iowa Code section </w:t>
      </w:r>
      <w:hyperlink r:id="rId7">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which may be printed on the instructions required by numbered paragraph “7” above.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53.8</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53.17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0107C</w:t>
      </w:r>
      <w:r>
        <w:rPr>
          <w:rFonts w:ascii="Times New Roman" w:hAnsi="Times New Roman"/>
          <w:b w:val="false"/>
          <w:i w:val="false"/>
          <w:color w:val="000000"/>
          <w:sz w:val="16"/>
        </w:rPr>
        <w:t>, IAB 4/18/12, effective 3/30/12</w:t>
      </w:r>
      <w:r>
        <w:rPr>
          <w:rFonts w:ascii="Times New Roman" w:hAnsi="Times New Roman"/>
          <w:b w:val="false"/>
          <w:i w:val="false"/>
          <w:color w:val="000000"/>
          <w:sz w:val="16"/>
        </w:rPr>
        <w:t xml:space="preserve">; </w:t>
      </w:r>
      <w:r>
        <w:rPr>
          <w:rFonts w:ascii="Times New Roman" w:hAnsi="Times New Roman"/>
          <w:b/>
          <w:i w:val="false"/>
          <w:color w:val="000000"/>
          <w:sz w:val="16"/>
        </w:rPr>
        <w:t>ARC 6063C</w:t>
      </w:r>
      <w:r>
        <w:rPr>
          <w:rFonts w:ascii="Times New Roman" w:hAnsi="Times New Roman"/>
          <w:b w:val="false"/>
          <w:i w:val="false"/>
          <w:color w:val="000000"/>
          <w:sz w:val="16"/>
        </w:rPr>
        <w:t>, IAB 12/1/21, effective 1/5/22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8.pdf" Type="http://schemas.openxmlformats.org/officeDocument/2006/relationships/hyperlink" Id="rId4"/>
    <Relationship TargetMode="External" Target="http://www.sos.iowa.gov" Type="http://schemas.openxmlformats.org/officeDocument/2006/relationships/hyperlink" Id="rId5"/>
    <Relationship TargetMode="External" Target="https://www.legis.iowa.gov/docs/iac/rule/721.22.250.pdf" Type="http://schemas.openxmlformats.org/officeDocument/2006/relationships/hyperlink" Id="rId6"/>
    <Relationship TargetMode="External" Target="https://www.legis.iowa.gov/docs/ico/chapter/53.3.pdf" Type="http://schemas.openxmlformats.org/officeDocument/2006/relationships/hyperlink" Id="rId7"/>
    <Relationship TargetMode="External" Target="https://www.legis.iowa.gov/docs/ico/chapter/53.8.pdf" Type="http://schemas.openxmlformats.org/officeDocument/2006/relationships/hyperlink" Id="rId8"/>
    <Relationship TargetMode="External" Target="https://www.legis.iowa.gov/docs/ico/chapter/53.1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