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721—21.302</w:t>
      </w:r>
      <w:r>
        <w:rPr>
          <w:rFonts w:ascii="Times New Roman" w:hAnsi="Times New Roman"/>
          <w:b/>
          <w:i w:val="false"/>
          <w:color w:val="000000"/>
          <w:sz w:val="22"/>
        </w:rPr>
        <w:t xml:space="preserve">(48A) </w:t>
      </w:r>
      <w:r>
        <w:rPr>
          <w:rFonts w:ascii="Times New Roman" w:hAnsi="Times New Roman"/>
          <w:b/>
          <w:i w:val="false"/>
          <w:color w:val="000000"/>
          <w:sz w:val="22"/>
        </w:rPr>
        <w:t xml:space="preserve">In-person absentee registration. </w:t>
      </w:r>
      <w:r>
        <w:rPr>
          <w:rFonts w:ascii="Times New Roman" w:hAnsi="Times New Roman"/>
          <w:b w:val="false"/>
          <w:i w:val="false"/>
          <w:color w:val="000000"/>
          <w:sz w:val="22"/>
        </w:rPr>
        <w:t xml:space="preserve">After the close of voter registration for an election, a person who appears in person to apply for and vote an absentee ballot may register to vote if the person provides proof of identity and residence in the precinct in which the voter intends to vote using identification that meets the requirements set forth in Iowa Code section </w:t>
      </w:r>
      <w:hyperlink r:id="rId4">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The voter must also complete an oath of person registering on election day. If the voter does not have appropriate identification, the voter may establish identity and residence using the attestation procedure in Iowa Code section </w:t>
      </w:r>
      <w:hyperlink r:id="rId5">
        <w:r>
          <w:rPr>
            <w:rStyle w:val="Hyperlink"/>
            <w:rFonts w:ascii="Times New Roman" w:hAnsi="Times New Roman"/>
            <w:b w:val="false"/>
            <w:i w:val="false"/>
            <w:color w:val="000000"/>
            <w:sz w:val="22"/>
          </w:rPr>
          <w:t>48A.7A, subsection 1,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Otherwise, the person may cast only a provisional ballot pursuant to Iowa Code section </w:t>
      </w:r>
      <w:hyperlink r:id="rId6">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Provisional ballot envelopes shall be used.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A.7A.pdf" Type="http://schemas.openxmlformats.org/officeDocument/2006/relationships/hyperlink" Id="rId4"/>
    <Relationship TargetMode="External" Target="https://www.legis.iowa.gov/docs/ico/chapter/48A.7A.pdf" Type="http://schemas.openxmlformats.org/officeDocument/2006/relationships/hyperlink" Id="rId5"/>
    <Relationship TargetMode="External" Target="https://www.legis.iowa.gov/docs/ico/chapter/49.81.pdf" Type="http://schemas.openxmlformats.org/officeDocument/2006/relationships/hyperlink" Id="rId6"/>
    <Relationship TargetMode="External" Target="https://www.legis.iowa.gov/docs/ico/chapter/48A.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