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721—21.301</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ballot requests from voters whose registration records are “inactive.”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21.301(1)</w:t>
      </w:r>
      <w:r>
        <w:rPr>
          <w:rFonts w:ascii="Times New Roman" w:hAnsi="Times New Roman"/>
          <w:b w:val="false"/>
          <w:i w:val="false"/>
          <w:color w:val="000000"/>
          <w:sz w:val="22"/>
        </w:rPr>
        <w:t> </w:t>
      </w:r>
      <w:r>
        <w:rPr>
          <w:rFonts w:ascii="Times New Roman" w:hAnsi="Times New Roman"/>
          <w:b w:val="false"/>
          <w:i/>
          <w:color w:val="000000"/>
          <w:sz w:val="22"/>
        </w:rPr>
        <w:t xml:space="preserve">In person. </w:t>
      </w:r>
      <w:r>
        <w:rPr>
          <w:rFonts w:ascii="Times New Roman" w:hAnsi="Times New Roman"/>
          <w:b w:val="false"/>
          <w:i w:val="false"/>
          <w:color w:val="000000"/>
          <w:sz w:val="22"/>
        </w:rPr>
        <w:t>Absentee voters whose registration records are “inactive” and who appear in person to vote, either at the office of the commissioner or at a satellite absentee voting station, shall be assigned a status of “active” after requesting an absentee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21.301(2)</w:t>
      </w:r>
      <w:r>
        <w:rPr>
          <w:rFonts w:ascii="Times New Roman" w:hAnsi="Times New Roman"/>
          <w:b w:val="false"/>
          <w:i w:val="false"/>
          <w:color w:val="000000"/>
          <w:sz w:val="22"/>
        </w:rPr>
        <w:t> </w:t>
      </w:r>
      <w:r>
        <w:rPr>
          <w:rFonts w:ascii="Times New Roman" w:hAnsi="Times New Roman"/>
          <w:b w:val="false"/>
          <w:i/>
          <w:color w:val="000000"/>
          <w:sz w:val="22"/>
        </w:rPr>
        <w:t xml:space="preserve">By mail. </w:t>
      </w:r>
      <w:r>
        <w:rPr>
          <w:rFonts w:ascii="Times New Roman" w:hAnsi="Times New Roman"/>
          <w:b w:val="false"/>
          <w:i w:val="false"/>
          <w:color w:val="000000"/>
          <w:sz w:val="22"/>
        </w:rPr>
        <w:t xml:space="preserve">When a request for an absentee ballot is received by mail from a voter whose registration record has been made “inactive” pursuant to Iowa Code section </w:t>
      </w:r>
      <w:hyperlink r:id="rId4">
        <w:r>
          <w:rPr>
            <w:rStyle w:val="Hyperlink"/>
            <w:rFonts w:ascii="Times New Roman" w:hAnsi="Times New Roman"/>
            <w:b w:val="false"/>
            <w:i w:val="false"/>
            <w:color w:val="000000"/>
            <w:sz w:val="22"/>
          </w:rPr>
          <w:t>48A.29</w:t>
        </w:r>
      </w:hyperlink>
      <w:r>
        <w:rPr>
          <w:rFonts w:ascii="Times New Roman" w:hAnsi="Times New Roman"/>
          <w:b w:val="false"/>
          <w:i w:val="false"/>
          <w:color w:val="000000"/>
          <w:sz w:val="22"/>
        </w:rPr>
        <w:t>, the commissioner shall update the voter’s residential address to the address listed on the absentee ballot request if requested by the voter and assign the voter a status of “active.”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21.301(3)</w:t>
      </w:r>
      <w:r>
        <w:rPr>
          <w:rFonts w:ascii="Times New Roman" w:hAnsi="Times New Roman"/>
          <w:b w:val="false"/>
          <w:i w:val="false"/>
          <w:color w:val="000000"/>
          <w:sz w:val="22"/>
        </w:rPr>
        <w:t> </w:t>
      </w:r>
      <w:r>
        <w:rPr>
          <w:rFonts w:ascii="Times New Roman" w:hAnsi="Times New Roman"/>
          <w:b w:val="false"/>
          <w:i/>
          <w:color w:val="000000"/>
          <w:sz w:val="22"/>
        </w:rPr>
        <w:t xml:space="preserve">Absentee ballots received from a voter subsequently assigned “inactive”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mail an absentee ballot to a voter if a voter’s status is changed to “inactive” between the time the voter requested an absentee ballot and the time the absentee ballots are ready to mail. The commissioner shall also separately notify the voter of the requirement to provide identification and proof of residence before the ballot can be counted pursuant to paragraph </w:t>
      </w:r>
      <w:hyperlink r:id="rId5">
        <w:r>
          <w:rPr>
            <w:rStyle w:val="Hyperlink"/>
            <w:rFonts w:ascii="Times New Roman" w:hAnsi="Times New Roman"/>
            <w:b w:val="false"/>
            <w:i w:val="false"/>
            <w:color w:val="000000"/>
            <w:sz w:val="22"/>
          </w:rPr>
          <w:t>21.301(3)</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set aside the absentee ballot of a voter whose status is changed to “inactive” pursuant to Iowa Code section </w:t>
      </w:r>
      <w:hyperlink r:id="rId6">
        <w:r>
          <w:rPr>
            <w:rStyle w:val="Hyperlink"/>
            <w:rFonts w:ascii="Times New Roman" w:hAnsi="Times New Roman"/>
            <w:b w:val="false"/>
            <w:i w:val="false"/>
            <w:color w:val="000000"/>
            <w:sz w:val="22"/>
          </w:rPr>
          <w:t>48A.26, subsection 6</w:t>
        </w:r>
      </w:hyperlink>
      <w:r>
        <w:rPr>
          <w:rFonts w:ascii="Times New Roman" w:hAnsi="Times New Roman"/>
          <w:b w:val="false"/>
          <w:i w:val="false"/>
          <w:color w:val="000000"/>
          <w:sz w:val="22"/>
        </w:rPr>
        <w:t>, after the voter has submitted the voter’s absentee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7">
        <w:r>
          <w:rPr>
            <w:rStyle w:val="Hyperlink"/>
            <w:rFonts w:ascii="Times New Roman" w:hAnsi="Times New Roman"/>
            <w:b w:val="false"/>
            <w:i w:val="false"/>
            <w:color w:val="000000"/>
            <w:sz w:val="22"/>
          </w:rPr>
          <w:t>53.31</w:t>
        </w:r>
      </w:hyperlink>
      <w:r>
        <w:rPr>
          <w:rFonts w:ascii="Times New Roman" w:hAnsi="Times New Roman"/>
          <w:b w:val="false"/>
          <w:i w:val="false"/>
          <w:color w:val="000000"/>
          <w:sz w:val="22"/>
        </w:rPr>
        <w:t xml:space="preserve">, the commissioner shall notify any voter assigned an “inactive” status subsequent to requesting or returning an absentee ballot that the voter’s absentee ballot has been challenged and may be counted only if the voter personally delivers or mails a copy of the voter’s identification and proof of residence as listed in Iowa Code section </w:t>
      </w:r>
      <w:hyperlink r:id="rId8">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to the commissioner’s office before the absentee and special voters precinct board convenes to count absentee ballots, or reconvenes to consider challenged absentee ballots pursuant to Iowa Code section </w:t>
      </w:r>
      <w:hyperlink r:id="rId9">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xml:space="preserve">. If the commissioner does not receive a copy of the voter’s identification before the absentee and special voters precinct board reconvenes to consider challenged absentee ballots pursuant to Iowa Code section </w:t>
      </w:r>
      <w:hyperlink r:id="rId10">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the absentee and special voters precinct board shall reject the absentee ballot.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48A.26</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48A.29</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48A.37</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8A.29.pdf" Type="http://schemas.openxmlformats.org/officeDocument/2006/relationships/hyperlink" Id="rId4"/>
    <Relationship TargetMode="External" Target="https://www.legis.iowa.gov/docs/iac/rule/721.21.301.pdf" Type="http://schemas.openxmlformats.org/officeDocument/2006/relationships/hyperlink" Id="rId5"/>
    <Relationship TargetMode="External" Target="https://www.legis.iowa.gov/docs/ico/chapter/48A.26.pdf" Type="http://schemas.openxmlformats.org/officeDocument/2006/relationships/hyperlink" Id="rId6"/>
    <Relationship TargetMode="External" Target="https://www.legis.iowa.gov/docs/ico/chapter/53.31.pdf" Type="http://schemas.openxmlformats.org/officeDocument/2006/relationships/hyperlink" Id="rId7"/>
    <Relationship TargetMode="External" Target="https://www.legis.iowa.gov/docs/ico/chapter/48A.8.pdf" Type="http://schemas.openxmlformats.org/officeDocument/2006/relationships/hyperlink" Id="rId8"/>
    <Relationship TargetMode="External" Target="https://www.legis.iowa.gov/docs/ico/chapter/50.22.pdf" Type="http://schemas.openxmlformats.org/officeDocument/2006/relationships/hyperlink" Id="rId9"/>
    <Relationship TargetMode="External" Target="https://www.legis.iowa.gov/docs/ico/chapter/50.22.pdf" Type="http://schemas.openxmlformats.org/officeDocument/2006/relationships/hyperlink" Id="rId10"/>
    <Relationship TargetMode="External" Target="https://www.legis.iowa.gov/docs/ico/chapter/48A.26.pdf" Type="http://schemas.openxmlformats.org/officeDocument/2006/relationships/hyperlink" Id="rId11"/>
    <Relationship TargetMode="External" Target="https://www.legis.iowa.gov/docs/ico/chapter/48A.29.pdf" Type="http://schemas.openxmlformats.org/officeDocument/2006/relationships/hyperlink" Id="rId12"/>
    <Relationship TargetMode="External" Target="https://www.legis.iowa.gov/docs/ico/chapter/48A.37.pdf" Type="http://schemas.openxmlformats.org/officeDocument/2006/relationships/hyperlink" Id="rId13"/>
    <Relationship TargetMode="External" Target="https://www.legis.iowa.gov/docs/ico/chapter/53.25.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