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w:t>
      </w:r>
      <w:r>
        <w:rPr>
          <w:rFonts w:ascii="Times New Roman" w:hAnsi="Times New Roman"/>
          <w:b/>
          <w:i w:val="false"/>
          <w:color w:val="000000"/>
          <w:sz w:val="22"/>
        </w:rPr>
        <w:t xml:space="preserve">(49) </w:t>
      </w:r>
      <w:r>
        <w:rPr>
          <w:rFonts w:ascii="Times New Roman" w:hAnsi="Times New Roman"/>
          <w:b/>
          <w:i w:val="false"/>
          <w:color w:val="000000"/>
          <w:sz w:val="22"/>
        </w:rPr>
        <w:t xml:space="preserve">Inclusion of annexed territory in city reprecincting and redistricting plans. </w:t>
      </w:r>
      <w:r>
        <w:rPr>
          <w:rFonts w:ascii="Times New Roman" w:hAnsi="Times New Roman"/>
          <w:b w:val="false"/>
          <w:i w:val="false"/>
          <w:color w:val="000000"/>
          <w:sz w:val="22"/>
        </w:rPr>
        <w:t xml:space="preserve">If a city has annexed territory after January 1 of a year ending in zero and before the completion of the redrawing of precinct and ward boundaries during a year ending in one, the city shall include the annexed land in precincts drawn pursuant to Iowa Code sections </w:t>
      </w:r>
      <w:hyperlink r:id="rId4">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city council draws precinct and ward boundaries, if any, the city shall use the population of the annexed territory as certified by the city to the state treasurer pursuant to Iowa Code section </w:t>
      </w:r>
      <w:hyperlink r:id="rId6">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of supervisors, or the temporary county redistricting commission, draws precinct and county supervisor district boundaries, if any, it shall subtract from the population of the adjacent unincorporated area the population of the annexed territory as certified by the city to the state treasurer pursuant to Iowa Code section </w:t>
      </w:r>
      <w:hyperlink r:id="rId7">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population figures for reprecincting or redistricting shall not affect the official population of the city or the county. Only the U.S. Bureau of the Census may adjust the official population figures, by corrections or by conducting special censuses. See Iowa Code section </w:t>
      </w:r>
      <w:hyperlink r:id="rId8">
        <w:r>
          <w:rPr>
            <w:rStyle w:val="Hyperlink"/>
            <w:rFonts w:ascii="Times New Roman" w:hAnsi="Times New Roman"/>
            <w:b w:val="false"/>
            <w:i w:val="false"/>
            <w:color w:val="000000"/>
            <w:sz w:val="22"/>
          </w:rPr>
          <w:t>9F.6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3.pdf" Type="http://schemas.openxmlformats.org/officeDocument/2006/relationships/hyperlink" Id="rId4"/>
    <Relationship TargetMode="External" Target="https://www.legis.iowa.gov/docs/ico/chapter/49.5.pdf" Type="http://schemas.openxmlformats.org/officeDocument/2006/relationships/hyperlink" Id="rId5"/>
    <Relationship TargetMode="External" Target="https://www.legis.iowa.gov/docs/ico/chapter/312.3.pdf" Type="http://schemas.openxmlformats.org/officeDocument/2006/relationships/hyperlink" Id="rId6"/>
    <Relationship TargetMode="External" Target="https://www.legis.iowa.gov/docs/ico/chapter/312.3.pdf" Type="http://schemas.openxmlformats.org/officeDocument/2006/relationships/hyperlink" Id="rId7"/>
    <Relationship TargetMode="External" Target="https://www.legis.iowa.gov/docs/ico/chapter/9F.6.pdf" Type="http://schemas.openxmlformats.org/officeDocument/2006/relationships/hyperlink" Id="rId8"/>
    <Relationship TargetMode="External" Target="https://www.legis.iowa.gov/docs/ico/chapter/49.3.pdf" Type="http://schemas.openxmlformats.org/officeDocument/2006/relationships/hyperlink" Id="rId9"/>
    <Relationship TargetMode="External" Target="https://www.legis.iowa.gov/docs/ico/chapter/49.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