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w:t>
      </w:r>
      <w:r>
        <w:rPr>
          <w:rFonts w:ascii="Times New Roman" w:hAnsi="Times New Roman"/>
          <w:b/>
          <w:i w:val="false"/>
          <w:color w:val="000000"/>
          <w:sz w:val="22"/>
        </w:rPr>
        <w:t xml:space="preserve">(49,48A) </w:t>
      </w:r>
      <w:r>
        <w:rPr>
          <w:rFonts w:ascii="Times New Roman" w:hAnsi="Times New Roman"/>
          <w:b/>
          <w:i w:val="false"/>
          <w:color w:val="000000"/>
          <w:sz w:val="22"/>
        </w:rPr>
        <w:t xml:space="preserve">Voter identification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documents for persons other than election day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person is registering to vote at the polls on election day, precinct election officials shall accept the identification documents listed in Iowa Code section </w:t>
      </w:r>
      <w:hyperlink r:id="rId4">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from any person who is asked or required to present identification pursuant to Iowa Code section </w:t>
      </w:r>
      <w:hyperlink r:id="rId5">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and valid identification. “Current and valid” or “identification,” for persons other than election day registrants, means identification that meets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driver’s licenses and nonoperator’s identification cards used to establish identity pursuant to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shall be accepted up to 90 days after the expiration date listed on the license. It is still acceptable on the ninetieth day. An Iowa nonoperator’s identification card that does not expire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and military identification cards that do not contain an expiration date or that do not expire and voter identification cards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registration pursuant to Iowa Code section </w:t>
      </w:r>
      <w:hyperlink r:id="rId6">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the proof of residence must be dated, or describe terms of residency current to, within 45 days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forms of identification used to establish identity pursuant to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shall not be expired. An identification is still valid on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current and valid identification may include a former address, when used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for election day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applies to register to vote on election day shall provide proof of identity and residence pursuant to Iowa Code section </w:t>
      </w:r>
      <w:hyperlink r:id="rId7">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in the precinct where the person is applying to register and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registered voter who attests for another person registering to vote at the polls on election day shall meet the requirements in Iowa Code section </w:t>
      </w:r>
      <w:hyperlink r:id="rId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The registered voter may be a precinct election official or a pollwatcher, but may not attest for more than one person applying to register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and valid identification. “Current and valid” or “identification,” for the purposes of election day registration, means identification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expiration date on the identification card has not passed. An identification is still valid on the expiration date. An Iowa nonoperator’s identification card that does not expire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and military identification cards that do not contain an expiration date or that do not expire and voter identification cards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current and valid identification may include a former address, when used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Proof of residence standards for all voters. </w:t>
      </w:r>
      <w:r>
        <w:rPr>
          <w:rFonts w:ascii="Times New Roman" w:hAnsi="Times New Roman"/>
          <w:b w:val="false"/>
          <w:i w:val="false"/>
          <w:color w:val="000000"/>
          <w:sz w:val="22"/>
        </w:rPr>
        <w:t xml:space="preserve">Any person required to present proof of residence pursuant to Iowa Code sections </w:t>
      </w:r>
      <w:hyperlink r:id="rId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provide documentation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proof of residence document must be listed in Iowa Code section </w:t>
      </w:r>
      <w:hyperlink r:id="rId11">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or 48A.8.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document must be current within 45 days of election day,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residential lease’s stated term must include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Property tax statements are current within 45 days of March 31 or the final payment date, if the final payment date is stated in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not provided. </w:t>
      </w:r>
      <w:r>
        <w:rPr>
          <w:rFonts w:ascii="Times New Roman" w:hAnsi="Times New Roman"/>
          <w:b w:val="false"/>
          <w:i w:val="false"/>
          <w:color w:val="000000"/>
          <w:sz w:val="22"/>
        </w:rPr>
        <w:t xml:space="preserve">After January 1, 2019, a person who is required to provide identification and does not provide it shall vote only by provisional ballot pursuant to Iowa Code section </w:t>
      </w:r>
      <w:hyperlink r:id="rId12">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However, a person who is registering to vote on election day pursuant to Iowa Code section </w:t>
      </w:r>
      <w:hyperlink r:id="rId13">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may establish identity and residency in the precinct by written oath of a person who is registered to vote in the precinct. A registered voter may only attest for one election day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Attesting to identity by signing oath. </w:t>
      </w:r>
      <w:r>
        <w:rPr>
          <w:rFonts w:ascii="Times New Roman" w:hAnsi="Times New Roman"/>
          <w:b w:val="false"/>
          <w:i w:val="false"/>
          <w:color w:val="000000"/>
          <w:sz w:val="22"/>
        </w:rPr>
        <w:t xml:space="preserve">A person who cannot show proof of identity at the polls may swear to the oath appearing in </w:t>
      </w:r>
      <w:r>
        <w:rPr>
          <w:rFonts w:ascii="Times New Roman" w:hAnsi="Times New Roman"/>
          <w:b w:val="false"/>
          <w:i w:val="false"/>
          <w:color w:val="000000"/>
          <w:sz w:val="22"/>
        </w:rPr>
        <w:t>2017 Iowa Acts, House File 516, section 27(8)</w:t>
      </w:r>
      <w:r>
        <w:rPr>
          <w:rFonts w:ascii="Times New Roman" w:hAnsi="Times New Roman"/>
          <w:b w:val="false"/>
          <w:i w:val="false"/>
          <w:color w:val="000000"/>
          <w:sz w:val="22"/>
        </w:rPr>
        <w:t>. This provision is repealed effective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identity and residency. </w:t>
      </w:r>
      <w:r>
        <w:rPr>
          <w:rFonts w:ascii="Times New Roman" w:hAnsi="Times New Roman"/>
          <w:b w:val="false"/>
          <w:i w:val="false"/>
          <w:color w:val="000000"/>
          <w:sz w:val="22"/>
        </w:rPr>
        <w:t xml:space="preserve">Proof of identity and residence of persons offering to vote is presumed valid unless the precinct election official determines the proof offered does not match the voter. In determining whether a person offering to vote is eligible under Iowa Code section </w:t>
      </w:r>
      <w:hyperlink r:id="rId14">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Iowa Code chapter </w:t>
      </w:r>
      <w:hyperlink r:id="rId15">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precinct election officials shall consider all of the information presented by the person offering to vote prior to determining that the person is not eligible. The following are factors that shall be considered by precinct election officials in making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to the voter’s physical appearance 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proof was generated, subject to the Iowa Code sections that govern the validity and expiration timelines of the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documentation allowable under Iowa Code chapter </w:t>
      </w:r>
      <w:hyperlink r:id="rId16">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 xml:space="preserve"> to prove the facts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color w:val="000000"/>
          <w:sz w:val="22"/>
        </w:rPr>
        <w:t xml:space="preserve">Post-election day proof of identity or residency. </w:t>
      </w:r>
      <w:r>
        <w:rPr>
          <w:rFonts w:ascii="Times New Roman" w:hAnsi="Times New Roman"/>
          <w:b w:val="false"/>
          <w:i w:val="false"/>
          <w:color w:val="000000"/>
          <w:sz w:val="22"/>
        </w:rPr>
        <w:t xml:space="preserve">As of January 1, 2019, a person required to cast a provisional ballot under this rule may submit proof of identity or residence after election day. The proof must be received by the commissioner not later than 12 noon on the Monday following the election, or if the law authorizing the election specifies that the supervisors canvass the votes earlier than the Monday following the election, it must be received by the commissioner before the canvass for that election by the board of supervisors. Defects may be cured through the use of documentation as permitted under Iowa Code section </w:t>
      </w:r>
      <w:hyperlink r:id="rId17">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If such defects are cured, the voter’s ballot shall be counted.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and the Help America Vote Act.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A.8.pdf" Type="http://schemas.openxmlformats.org/officeDocument/2006/relationships/hyperlink" Id="rId4"/>
    <Relationship TargetMode="External" Target="https://www.legis.iowa.gov/docs/ico/chapter/49.77.pdf" Type="http://schemas.openxmlformats.org/officeDocument/2006/relationships/hyperlink" Id="rId5"/>
    <Relationship TargetMode="External" Target="https://www.legis.iowa.gov/docs/ico/chapter/48A.8.pdf" Type="http://schemas.openxmlformats.org/officeDocument/2006/relationships/hyperlink" Id="rId6"/>
    <Relationship TargetMode="External" Target="https://www.legis.iowa.gov/docs/ico/chapter/48A.7A.pdf" Type="http://schemas.openxmlformats.org/officeDocument/2006/relationships/hyperlink" Id="rId7"/>
    <Relationship TargetMode="External" Target="https://www.legis.iowa.gov/docs/ico/chapter/48A.7A.pdf" Type="http://schemas.openxmlformats.org/officeDocument/2006/relationships/hyperlink" Id="rId8"/>
    <Relationship TargetMode="External" Target="https://www.legis.iowa.gov/docs/ico/chapter/48A.7A.pdf" Type="http://schemas.openxmlformats.org/officeDocument/2006/relationships/hyperlink" Id="rId9"/>
    <Relationship TargetMode="External" Target="https://www.legis.iowa.gov/docs/ico/chapter/48A.8.pdf" Type="http://schemas.openxmlformats.org/officeDocument/2006/relationships/hyperlink" Id="rId10"/>
    <Relationship TargetMode="External" Target="https://www.legis.iowa.gov/docs/ico/chapter/48A.7A.pdf" Type="http://schemas.openxmlformats.org/officeDocument/2006/relationships/hyperlink" Id="rId11"/>
    <Relationship TargetMode="External" Target="https://www.legis.iowa.gov/docs/ico/chapter/49.81.pdf" Type="http://schemas.openxmlformats.org/officeDocument/2006/relationships/hyperlink" Id="rId12"/>
    <Relationship TargetMode="External" Target="https://www.legis.iowa.gov/docs/ico/chapter/48A.7A.pdf" Type="http://schemas.openxmlformats.org/officeDocument/2006/relationships/hyperlink" Id="rId13"/>
    <Relationship TargetMode="External" Target="https://www.legis.iowa.gov/docs/ico/chapter/48A.7A.pdf" Type="http://schemas.openxmlformats.org/officeDocument/2006/relationships/hyperlink" Id="rId14"/>
    <Relationship TargetMode="External" Target="https://www.legis.iowa.gov/docs/ico/chapter/49.pdf" Type="http://schemas.openxmlformats.org/officeDocument/2006/relationships/hyperlink" Id="rId15"/>
    <Relationship TargetMode="External" Target="https://www.legis.iowa.gov/docs/ico/chapter/48A.pdf" Type="http://schemas.openxmlformats.org/officeDocument/2006/relationships/hyperlink" Id="rId16"/>
    <Relationship TargetMode="External" Target="https://www.legis.iowa.gov/docs/ico/chapter/48A.7A.pdf" Type="http://schemas.openxmlformats.org/officeDocument/2006/relationships/hyperlink" Id="rId17"/>
    <Relationship TargetMode="External" Target="https://www.legis.iowa.gov/docs/ico/chapter/48A.7A.pdf" Type="http://schemas.openxmlformats.org/officeDocument/2006/relationships/hyperlink" Id="rId18"/>
    <Relationship TargetMode="External" Target="https://www.legis.iowa.gov/docs/ico/chapter/49.77.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