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721—21.25</w:t>
      </w:r>
      <w:r>
        <w:rPr>
          <w:rFonts w:ascii="Times New Roman" w:hAnsi="Times New Roman"/>
          <w:b/>
          <w:i w:val="false"/>
          <w:color w:val="000000"/>
          <w:sz w:val="22"/>
        </w:rPr>
        <w:t xml:space="preserve">(50) </w:t>
      </w:r>
      <w:r>
        <w:rPr>
          <w:rFonts w:ascii="Times New Roman" w:hAnsi="Times New Roman"/>
          <w:b/>
          <w:i w:val="false"/>
          <w:color w:val="000000"/>
          <w:sz w:val="22"/>
        </w:rPr>
        <w:t xml:space="preserve">Administrative recounts. </w:t>
      </w:r>
      <w:r>
        <w:rPr>
          <w:rFonts w:ascii="Times New Roman" w:hAnsi="Times New Roman"/>
          <w:b w:val="false"/>
          <w:i w:val="false"/>
          <w:color w:val="000000"/>
          <w:sz w:val="22"/>
        </w:rPr>
        <w:t>When the commissioner suspects that voting equipment used in the election malfunctioned or that programming errors may have affected the outcome of the election, the commissioner may request an administrative recount after the day of the election but not later than three days after the canvass of votes. The request shall be made in writing to the board of supervisors explaining the nature of the problem and listing the precincts to be recounted and which offices and questions shall be included in the administrative recount. The board of supervisors shall respond as soon as possible after receipt of the commissioner’s request.</w:t>
      </w:r>
    </w:p>
    <w:p>
      <w:pPr>
        <w:spacing w:before="0" w:after="0"/>
        <w:ind w:left="120"/>
        <w:jc w:val="left"/>
      </w:pPr>
      <w:r>
        <w:rPr>
          <w:rFonts w:ascii="Times New Roman" w:hAnsi="Times New Roman"/>
          <w:b w:val="false"/>
          <w:i w:val="false"/>
          <w:color w:val="000000"/>
          <w:sz w:val="22"/>
        </w:rPr>
        <w:t xml:space="preserve">The recount shall be conducted by members of the absentee and special voters precinct board following the provisions of Iowa Code sections </w:t>
      </w:r>
      <w:hyperlink r:id="rId4">
        <w:r>
          <w:rPr>
            <w:rStyle w:val="Hyperlink"/>
            <w:rFonts w:ascii="Times New Roman" w:hAnsi="Times New Roman"/>
            <w:b w:val="false"/>
            <w:i w:val="false"/>
            <w:color w:val="000000"/>
            <w:sz w:val="22"/>
          </w:rPr>
          <w:t>50.48</w:t>
        </w:r>
      </w:hyperlink>
      <w:r>
        <w:rPr>
          <w:rFonts w:ascii="Times New Roman" w:hAnsi="Times New Roman"/>
          <w:b w:val="false"/>
          <w:i w:val="false"/>
          <w:color w:val="000000"/>
          <w:sz w:val="22"/>
        </w:rPr>
        <w:t xml:space="preserve"> and </w:t>
      </w:r>
      <w:hyperlink r:id="rId5">
        <w:r>
          <w:rPr>
            <w:rStyle w:val="Hyperlink"/>
            <w:rFonts w:ascii="Times New Roman" w:hAnsi="Times New Roman"/>
            <w:b w:val="false"/>
            <w:i w:val="false"/>
            <w:color w:val="000000"/>
            <w:sz w:val="22"/>
          </w:rPr>
          <w:t>50.49</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721—Chapter 26</w:t>
        </w:r>
      </w:hyperlink>
      <w:r>
        <w:rPr>
          <w:rFonts w:ascii="Times New Roman" w:hAnsi="Times New Roman"/>
          <w:b w:val="false"/>
          <w:i w:val="false"/>
          <w:color w:val="000000"/>
          <w:sz w:val="22"/>
        </w:rPr>
        <w:t xml:space="preserve">. The commissioner may use different memory cards for the recount and shall retain the information on the memory cards used in the election pursuant to </w:t>
      </w:r>
      <w:hyperlink r:id="rId7">
        <w:r>
          <w:rPr>
            <w:rStyle w:val="Hyperlink"/>
            <w:rFonts w:ascii="Times New Roman" w:hAnsi="Times New Roman"/>
            <w:b w:val="false"/>
            <w:i w:val="false"/>
            <w:color w:val="000000"/>
            <w:sz w:val="22"/>
          </w:rPr>
          <w:t>721—subrule 22.51(13)</w:t>
        </w:r>
      </w:hyperlink>
      <w:r>
        <w:rPr>
          <w:rFonts w:ascii="Times New Roman" w:hAnsi="Times New Roman"/>
          <w:b w:val="false"/>
          <w:i w:val="false"/>
          <w:color w:val="000000"/>
          <w:sz w:val="22"/>
        </w:rPr>
        <w:t xml:space="preserve">. The commissioner may also use different election definition files if the commissioner believes the original election definition files were flawed. If the commissioner uses different election definition files for the recount, the commissioner shall also retain the election definition files for the election as required by </w:t>
      </w:r>
      <w:hyperlink r:id="rId8">
        <w:r>
          <w:rPr>
            <w:rStyle w:val="Hyperlink"/>
            <w:rFonts w:ascii="Times New Roman" w:hAnsi="Times New Roman"/>
            <w:b w:val="false"/>
            <w:i w:val="false"/>
            <w:color w:val="000000"/>
            <w:sz w:val="22"/>
          </w:rPr>
          <w:t>721—subrule 22.51(14)</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xml:space="preserve">This rule is intended to implement Iowa Code section </w:t>
      </w:r>
      <w:hyperlink r:id="rId9">
        <w:r>
          <w:rPr>
            <w:rStyle w:val="Hyperlink"/>
            <w:rFonts w:ascii="Times New Roman" w:hAnsi="Times New Roman"/>
            <w:b w:val="false"/>
            <w:i w:val="false"/>
            <w:color w:val="000000"/>
            <w:sz w:val="22"/>
          </w:rPr>
          <w:t>50.50</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8045B</w:t>
      </w:r>
      <w:r>
        <w:rPr>
          <w:rFonts w:ascii="Times New Roman" w:hAnsi="Times New Roman"/>
          <w:b w:val="false"/>
          <w:i w:val="false"/>
          <w:color w:val="000000"/>
          <w:sz w:val="16"/>
        </w:rPr>
        <w:t>, IAB 8/26/09, effective 7/27/09</w:t>
      </w:r>
      <w:r>
        <w:rPr>
          <w:rFonts w:ascii="Times New Roman" w:hAnsi="Times New Roman"/>
          <w:b w:val="false"/>
          <w:i w:val="false"/>
          <w:color w:val="000000"/>
          <w:sz w:val="16"/>
        </w:rPr>
        <w:t xml:space="preserve">; </w:t>
      </w:r>
      <w:r>
        <w:rPr>
          <w:rFonts w:ascii="Times New Roman" w:hAnsi="Times New Roman"/>
          <w:b/>
          <w:i w:val="false"/>
          <w:color w:val="000000"/>
          <w:sz w:val="16"/>
        </w:rPr>
        <w:t>ARC 1831C</w:t>
      </w:r>
      <w:r>
        <w:rPr>
          <w:rFonts w:ascii="Times New Roman" w:hAnsi="Times New Roman"/>
          <w:b w:val="false"/>
          <w:i w:val="false"/>
          <w:color w:val="000000"/>
          <w:sz w:val="16"/>
        </w:rPr>
        <w:t>, IAB 1/21/15, effective 2/25/15</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0.48.pdf" Type="http://schemas.openxmlformats.org/officeDocument/2006/relationships/hyperlink" Id="rId4"/>
    <Relationship TargetMode="External" Target="https://www.legis.iowa.gov/docs/ico/chapter/50.49.pdf" Type="http://schemas.openxmlformats.org/officeDocument/2006/relationships/hyperlink" Id="rId5"/>
    <Relationship TargetMode="External" Target="https://www.legis.iowa.gov/docs/iac/chapter/721.26.pdf" Type="http://schemas.openxmlformats.org/officeDocument/2006/relationships/hyperlink" Id="rId6"/>
    <Relationship TargetMode="External" Target="https://www.legis.iowa.gov/docs/iac/rule/721.22.51.pdf" Type="http://schemas.openxmlformats.org/officeDocument/2006/relationships/hyperlink" Id="rId7"/>
    <Relationship TargetMode="External" Target="https://www.legis.iowa.gov/docs/iac/rule/721.22.51.pdf" Type="http://schemas.openxmlformats.org/officeDocument/2006/relationships/hyperlink" Id="rId8"/>
    <Relationship TargetMode="External" Target="https://www.legis.iowa.gov/docs/ico/chapter/50.50.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