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721—21.22</w:t>
      </w:r>
      <w:r>
        <w:rPr>
          <w:rFonts w:ascii="Times New Roman" w:hAnsi="Times New Roman"/>
          <w:b/>
          <w:i w:val="false"/>
          <w:color w:val="000000"/>
          <w:sz w:val="22"/>
        </w:rPr>
        <w:t xml:space="preserve">(49) </w:t>
      </w:r>
      <w:r>
        <w:rPr>
          <w:rFonts w:ascii="Times New Roman" w:hAnsi="Times New Roman"/>
          <w:b/>
          <w:i w:val="false"/>
          <w:color w:val="000000"/>
          <w:sz w:val="22"/>
        </w:rPr>
        <w:t xml:space="preserve">Photocopied ballot procedures. </w:t>
      </w:r>
      <w:r>
        <w:rPr>
          <w:rFonts w:ascii="Times New Roman" w:hAnsi="Times New Roman"/>
          <w:b w:val="false"/>
          <w:i w:val="false"/>
          <w:color w:val="000000"/>
          <w:sz w:val="22"/>
        </w:rPr>
        <w:t xml:space="preserve">If it is necessary for ballots to be photocopied pursuant to Iowa Code section </w:t>
      </w:r>
      <w:hyperlink r:id="rId4">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 the commissioner shall use the “Request for Additional Ballots” form posted on the state commissioner’s website to record the request and resolution thereof. The commissioner shall complete the form, including the reason additional ballots are needed; who made the request for additional ballots and what time the request was made; the number of additional ballots produced; the manner of production of the additional ballots, including location of production; and the commissioner’s signature.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9.67.pdf" Type="http://schemas.openxmlformats.org/officeDocument/2006/relationships/hyperlink" Id="rId4"/>
    <Relationship TargetMode="External" Target="https://www.legis.iowa.gov/docs/ico/chapter/49.6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