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721—21.21</w:t>
      </w:r>
      <w:r>
        <w:rPr>
          <w:rFonts w:ascii="Times New Roman" w:hAnsi="Times New Roman"/>
          <w:b/>
          <w:i w:val="false"/>
          <w:color w:val="000000"/>
          <w:sz w:val="22"/>
        </w:rPr>
        <w:t xml:space="preserve">(62) </w:t>
      </w:r>
      <w:r>
        <w:rPr>
          <w:rFonts w:ascii="Times New Roman" w:hAnsi="Times New Roman"/>
          <w:b/>
          <w:i w:val="false"/>
          <w:color w:val="000000"/>
          <w:sz w:val="22"/>
        </w:rPr>
        <w:t xml:space="preserve">Limitations. </w:t>
      </w:r>
      <w:r>
        <w:rPr>
          <w:rFonts w:ascii="Times New Roman" w:hAnsi="Times New Roman"/>
          <w:b w:val="false"/>
          <w:i w:val="false"/>
          <w:color w:val="000000"/>
          <w:sz w:val="22"/>
        </w:rPr>
        <w:t>The amount of the bond shall not include costs not directly related to the contest court proceedings. Specifically, the amount of the bond shall not be intended to replace any potential lost income to the county caused by the delay in implementing the decision of the voters at the election being contested.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