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721—21.203</w:t>
      </w:r>
      <w:r>
        <w:rPr>
          <w:rFonts w:ascii="Times New Roman" w:hAnsi="Times New Roman"/>
          <w:b/>
          <w:i w:val="false"/>
          <w:color w:val="000000"/>
          <w:sz w:val="22"/>
        </w:rPr>
        <w:t xml:space="preserve">(49,52) </w:t>
      </w:r>
      <w:r>
        <w:rPr>
          <w:rFonts w:ascii="Times New Roman" w:hAnsi="Times New Roman"/>
          <w:b/>
          <w:i w:val="false"/>
          <w:color w:val="000000"/>
          <w:sz w:val="22"/>
        </w:rPr>
        <w:t xml:space="preserve">Form of general election ballot. </w:t>
      </w:r>
      <w:r>
        <w:rPr>
          <w:rFonts w:ascii="Times New Roman" w:hAnsi="Times New Roman"/>
          <w:b w:val="false"/>
          <w:i w:val="false"/>
          <w:color w:val="000000"/>
          <w:sz w:val="22"/>
        </w:rPr>
        <w:t>All general election ballots shall meet the following formatting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21.203(1)</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In addition to other requirements listed in the Iowa Code, general election ballots shall also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Instructions for how to mark the ballot, including instructions for voting on judicial retentions and constitutional amendments or public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Ballot location of the judges’ names and any constitutional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21.203(2)</w:t>
      </w:r>
      <w:r>
        <w:rPr>
          <w:rFonts w:ascii="Times New Roman" w:hAnsi="Times New Roman"/>
          <w:b w:val="false"/>
          <w:i w:val="false"/>
          <w:color w:val="000000"/>
          <w:sz w:val="22"/>
        </w:rPr>
        <w:t> </w:t>
      </w:r>
      <w:r>
        <w:rPr>
          <w:rFonts w:ascii="Times New Roman" w:hAnsi="Times New Roman"/>
          <w:b w:val="false"/>
          <w:i/>
          <w:color w:val="000000"/>
          <w:sz w:val="22"/>
        </w:rPr>
        <w:t xml:space="preserve">Headings and lines.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9/8/10</w:t>
      </w:r>
      <w:r>
        <w:rPr>
          <w:rFonts w:ascii="Times New Roman" w:hAnsi="Times New Roman"/>
          <w:b w:val="false"/>
          <w:i w:val="false"/>
          <w:color w:val="000000"/>
          <w:sz w:val="22"/>
        </w:rPr>
        <w:t>, effective 8/16/10.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21.203(3)</w:t>
      </w:r>
      <w:r>
        <w:rPr>
          <w:rFonts w:ascii="Times New Roman" w:hAnsi="Times New Roman"/>
          <w:b w:val="false"/>
          <w:i w:val="false"/>
          <w:color w:val="000000"/>
          <w:sz w:val="22"/>
        </w:rPr>
        <w:t> </w:t>
      </w:r>
      <w:r>
        <w:rPr>
          <w:rFonts w:ascii="Times New Roman" w:hAnsi="Times New Roman"/>
          <w:b w:val="false"/>
          <w:i/>
          <w:color w:val="000000"/>
          <w:sz w:val="22"/>
        </w:rPr>
        <w:t xml:space="preserve">Office titles, order of offices and public measures. </w:t>
      </w:r>
      <w:r>
        <w:rPr>
          <w:rFonts w:ascii="Times New Roman" w:hAnsi="Times New Roman"/>
          <w:b w:val="false"/>
          <w:i w:val="false"/>
          <w:color w:val="000000"/>
          <w:sz w:val="22"/>
        </w:rPr>
        <w:t>Each office printed on the ballot shall be preceded by an office title. The order of offices and public measures listed on the general election ballot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gubernatorial election years, the order of office titles and public measures on the general election ballot shall be listed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 Senator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 Representative,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Governor and Lt. 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Auditor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Treasurer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Secretary of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State Senator, District ___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State Representative,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Board of Supervisors (if plan II or plan III, then Board of Supervisors,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Treasurer.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County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Township Trustee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Township Clerk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County Public Hospital Trustee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Soil and Water Conservation District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County Agricultural Extension Council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Other nonpartisan offices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Supreme Court Justice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Court of Appeals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District Court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District Court Associate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Associate Juvenile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Associate Probate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(27)</w:t>
      </w:r>
      <w:r>
        <w:rPr>
          <w:rFonts w:ascii="Times New Roman" w:hAnsi="Times New Roman"/>
          <w:b w:val="false"/>
          <w:i w:val="false"/>
          <w:color w:val="000000"/>
          <w:sz w:val="22"/>
        </w:rPr>
        <w:t>  </w:t>
      </w:r>
      <w:r>
        <w:rPr>
          <w:rFonts w:ascii="Times New Roman" w:hAnsi="Times New Roman"/>
          <w:b w:val="false"/>
          <w:i w:val="false"/>
          <w:color w:val="000000"/>
          <w:sz w:val="22"/>
        </w:rPr>
        <w:t>Public Measures (if any). Under the public measures heading, measures shall be listed in the following order: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Constitutional Amendment (if any).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State Public Measure (if any).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County Public Measure (if any).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City Public Measure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presidential election years, the order of office titles on the general election ballot shall be listed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President and Vice President.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 Senator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 Representative,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State Senator, District ___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State Representative,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Board of Supervisors (if plan II or plan III, then Board of Supervisors,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Auditor.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Sheriff.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Township Trustee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Township Clerk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County Public Hospital Trustee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Soil and Water Conservation District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County Agricultural Extension Council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Other nonpartisan offices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Supreme Court Justice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Court of Appeals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District Court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District Court Associate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Associate Juvenile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Associate Probate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 xml:space="preserve">Public Measures (if any). Under the public measures heading, measures shall be listed in the following order: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Constitutional Amendment (if any).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State Public Measure (if any).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County Public Measure (if any).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City Public Measure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office is printed on the general election ballot followed by the words “To Fill Vacancy,” that office shall be listed after the other offices under the appropriate heading. If the office followed by the words “To Fill Vacancy” is the board of supervisors, that office shall appear after the other board of supervisors office(s).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21.203(4)</w:t>
      </w:r>
      <w:r>
        <w:rPr>
          <w:rFonts w:ascii="Times New Roman" w:hAnsi="Times New Roman"/>
          <w:b w:val="false"/>
          <w:i w:val="false"/>
          <w:color w:val="000000"/>
          <w:sz w:val="22"/>
        </w:rPr>
        <w:t> </w:t>
      </w:r>
      <w:r>
        <w:rPr>
          <w:rFonts w:ascii="Times New Roman" w:hAnsi="Times New Roman"/>
          <w:b w:val="false"/>
          <w:i/>
          <w:color w:val="000000"/>
          <w:sz w:val="22"/>
        </w:rPr>
        <w:t xml:space="preserve">Vote for number. </w:t>
      </w:r>
      <w:r>
        <w:rPr>
          <w:rFonts w:ascii="Times New Roman" w:hAnsi="Times New Roman"/>
          <w:b w:val="false"/>
          <w:i w:val="false"/>
          <w:color w:val="000000"/>
          <w:sz w:val="22"/>
        </w:rPr>
        <w:t>Under each office title, the number of choices a voter may make in the race shall be printed in the following form: “Vote for no more than ___”. The number of choices the voter may make for each race is the number of individuals to be elected to the office at the general election. Under the “President and Vice President” office title, “Vote for no more than one team” shall be printed on the ballot. Under the “Governor and Lt. Governor” office title, “Vote for no more than one team” shall be printed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21.203(5)</w:t>
      </w:r>
      <w:r>
        <w:rPr>
          <w:rFonts w:ascii="Times New Roman" w:hAnsi="Times New Roman"/>
          <w:b w:val="false"/>
          <w:i w:val="false"/>
          <w:color w:val="000000"/>
          <w:sz w:val="22"/>
        </w:rPr>
        <w:t> </w:t>
      </w:r>
      <w:r>
        <w:rPr>
          <w:rFonts w:ascii="Times New Roman" w:hAnsi="Times New Roman"/>
          <w:b w:val="false"/>
          <w:i/>
          <w:color w:val="000000"/>
          <w:sz w:val="22"/>
        </w:rPr>
        <w:t xml:space="preserve">Write-in vote targets. </w:t>
      </w:r>
      <w:r>
        <w:rPr>
          <w:rFonts w:ascii="Times New Roman" w:hAnsi="Times New Roman"/>
          <w:b w:val="false"/>
          <w:i w:val="false"/>
          <w:color w:val="000000"/>
          <w:sz w:val="22"/>
        </w:rPr>
        <w:t xml:space="preserve">After the candidates’ names for each office (if any), a target shall be placed next to a line for voters to write in a nominee for the office. The number of write-in targets and lines printed under each office shall match the vote for number referenced in subrule </w:t>
      </w:r>
      <w:hyperlink r:id="rId4">
        <w:r>
          <w:rPr>
            <w:rStyle w:val="Hyperlink"/>
            <w:rFonts w:ascii="Times New Roman" w:hAnsi="Times New Roman"/>
            <w:b w:val="false"/>
            <w:i w:val="false"/>
            <w:color w:val="000000"/>
            <w:sz w:val="22"/>
          </w:rPr>
          <w:t>21.203(4)</w:t>
        </w:r>
      </w:hyperlink>
      <w:r>
        <w:rPr>
          <w:rFonts w:ascii="Times New Roman" w:hAnsi="Times New Roman"/>
          <w:b w:val="false"/>
          <w:i w:val="false"/>
          <w:color w:val="000000"/>
          <w:sz w:val="22"/>
        </w:rPr>
        <w:t>. Under each write-in line, the following words shall be printed: “Write-in vote, if any”. For the offices of President and Vice President, there shall be one write-in target printed to the left of two write-in lines. Under the write-in lines, the commissioner shall print the following: “Write-in vote for President, if any” and “Write-in vote for Vice President, if any”. For the offices of governor and lieutenant governor, there shall be one write-in target printed to the left of two write-in lines. Under the write-in lines, the commissioner shall print the following: “Write-in vote for Governor, if any” and “Write-in vote for Lt. Governor,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21.203(6)</w:t>
      </w:r>
      <w:r>
        <w:rPr>
          <w:rFonts w:ascii="Times New Roman" w:hAnsi="Times New Roman"/>
          <w:b w:val="false"/>
          <w:i w:val="false"/>
          <w:color w:val="000000"/>
          <w:sz w:val="22"/>
        </w:rPr>
        <w:t> </w:t>
      </w:r>
      <w:r>
        <w:rPr>
          <w:rFonts w:ascii="Times New Roman" w:hAnsi="Times New Roman"/>
          <w:b w:val="false"/>
          <w:i/>
          <w:color w:val="000000"/>
          <w:sz w:val="22"/>
        </w:rPr>
        <w:t xml:space="preserve">Font size. </w:t>
      </w:r>
      <w:r>
        <w:rPr>
          <w:rFonts w:ascii="Times New Roman" w:hAnsi="Times New Roman"/>
          <w:b w:val="false"/>
          <w:i w:val="false"/>
          <w:color w:val="000000"/>
          <w:sz w:val="22"/>
        </w:rPr>
        <w:t>Candidates’ names shall be printed in upper and lower case letters, and the font size shall be no less than 10-point type.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21.203(7)</w:t>
      </w:r>
      <w:r>
        <w:rPr>
          <w:rFonts w:ascii="Times New Roman" w:hAnsi="Times New Roman"/>
          <w:b w:val="false"/>
          <w:i w:val="false"/>
          <w:color w:val="000000"/>
          <w:sz w:val="22"/>
        </w:rPr>
        <w:t> </w:t>
      </w:r>
      <w:r>
        <w:rPr>
          <w:rFonts w:ascii="Times New Roman" w:hAnsi="Times New Roman"/>
          <w:b w:val="false"/>
          <w:i/>
          <w:color w:val="000000"/>
          <w:sz w:val="22"/>
        </w:rPr>
        <w:t xml:space="preserve">Two-sided ballots. </w:t>
      </w:r>
      <w:r>
        <w:rPr>
          <w:rFonts w:ascii="Times New Roman" w:hAnsi="Times New Roman"/>
          <w:b w:val="false"/>
          <w:i w:val="false"/>
          <w:color w:val="000000"/>
          <w:sz w:val="22"/>
        </w:rPr>
        <w:t>If a general election ballot must be printed on two sides, the words “Turn the ballot over” shall be printed on both sides of the ballot, at the bottom.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21.203(8)</w:t>
      </w:r>
      <w:r>
        <w:rPr>
          <w:rFonts w:ascii="Times New Roman" w:hAnsi="Times New Roman"/>
          <w:b w:val="false"/>
          <w:i w:val="false"/>
          <w:color w:val="000000"/>
          <w:sz w:val="22"/>
        </w:rPr>
        <w:t> </w:t>
      </w:r>
      <w:r>
        <w:rPr>
          <w:rFonts w:ascii="Times New Roman" w:hAnsi="Times New Roman"/>
          <w:b w:val="false"/>
          <w:i/>
          <w:color w:val="000000"/>
          <w:sz w:val="22"/>
        </w:rPr>
        <w:t xml:space="preserve">Separate judicial ballot. </w:t>
      </w:r>
      <w:r>
        <w:rPr>
          <w:rFonts w:ascii="Times New Roman" w:hAnsi="Times New Roman"/>
          <w:b w:val="false"/>
          <w:i w:val="false"/>
          <w:color w:val="000000"/>
          <w:sz w:val="22"/>
        </w:rPr>
        <w:t>The judicial ballot shall be separate from the rest of the ballot and shall be conspicuously distinguished by headings and lines.</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49.57A</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8698B</w:t>
      </w:r>
      <w:r>
        <w:rPr>
          <w:rFonts w:ascii="Times New Roman" w:hAnsi="Times New Roman"/>
          <w:b w:val="false"/>
          <w:i w:val="false"/>
          <w:color w:val="000000"/>
          <w:sz w:val="16"/>
        </w:rPr>
        <w:t>, IAB 4/21/10, effective 6/15/10</w:t>
      </w:r>
      <w:r>
        <w:rPr>
          <w:rFonts w:ascii="Times New Roman" w:hAnsi="Times New Roman"/>
          <w:b w:val="false"/>
          <w:i w:val="false"/>
          <w:color w:val="000000"/>
          <w:sz w:val="16"/>
        </w:rPr>
        <w:t xml:space="preserve">; </w:t>
      </w:r>
      <w:r>
        <w:rPr>
          <w:rFonts w:ascii="Times New Roman" w:hAnsi="Times New Roman"/>
          <w:b/>
          <w:i w:val="false"/>
          <w:color w:val="000000"/>
          <w:sz w:val="16"/>
        </w:rPr>
        <w:t>ARC 9049B</w:t>
      </w:r>
      <w:r>
        <w:rPr>
          <w:rFonts w:ascii="Times New Roman" w:hAnsi="Times New Roman"/>
          <w:b w:val="false"/>
          <w:i w:val="false"/>
          <w:color w:val="000000"/>
          <w:sz w:val="16"/>
        </w:rPr>
        <w:t>, IAB 9/8/10, effective 8/16/10</w:t>
      </w:r>
      <w:r>
        <w:rPr>
          <w:rFonts w:ascii="Times New Roman" w:hAnsi="Times New Roman"/>
          <w:b w:val="false"/>
          <w:i w:val="false"/>
          <w:color w:val="000000"/>
          <w:sz w:val="16"/>
        </w:rPr>
        <w:t xml:space="preserve">; </w:t>
      </w:r>
      <w:r>
        <w:rPr>
          <w:rFonts w:ascii="Times New Roman" w:hAnsi="Times New Roman"/>
          <w:b/>
          <w:i w:val="false"/>
          <w:color w:val="000000"/>
          <w:sz w:val="16"/>
        </w:rPr>
        <w:t>ARC 0107C</w:t>
      </w:r>
      <w:r>
        <w:rPr>
          <w:rFonts w:ascii="Times New Roman" w:hAnsi="Times New Roman"/>
          <w:b w:val="false"/>
          <w:i w:val="false"/>
          <w:color w:val="000000"/>
          <w:sz w:val="16"/>
        </w:rPr>
        <w:t>, IAB 4/18/12, effective 3/30/12</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21.21.203.pdf" Type="http://schemas.openxmlformats.org/officeDocument/2006/relationships/hyperlink" Id="rId4"/>
    <Relationship TargetMode="External" Target="https://www.legis.iowa.gov/docs/ico/chapter/49.57A.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