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721—21.200</w:t>
      </w:r>
      <w:r>
        <w:rPr>
          <w:rFonts w:ascii="Times New Roman" w:hAnsi="Times New Roman"/>
          <w:b/>
          <w:i w:val="false"/>
          <w:color w:val="000000"/>
          <w:sz w:val="22"/>
        </w:rPr>
        <w:t xml:space="preserve">(49) </w:t>
      </w:r>
      <w:r>
        <w:rPr>
          <w:rFonts w:ascii="Times New Roman" w:hAnsi="Times New Roman"/>
          <w:b/>
          <w:i w:val="false"/>
          <w:color w:val="000000"/>
          <w:sz w:val="22"/>
        </w:rPr>
        <w:t xml:space="preserve">Constitutional amendments and public measures.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21.200(1)</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constitutional amendments and statewide public measures to be voted upon at a single election shall be determined by the state commissioner, and a number shall be assigned to each constitutional amendment or statewide public measure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to each constitutional amendment or statewide public measure to appear on the ballot for a single election shall be printed on the ballot immediately preceding and above the words “Shall the following amendment to the Constitution (or public measure) be adopted?” or the words “Shall there be a Convention to revise the Constitution, and propose amendment or amendments to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shall be printed on the ballot at least 1/8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Even if only one constitutional amendment or statewide public measure is to appear on a ballot to be voted upon at a single election, an identifying number shall be assigned by the state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21.200(2)</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each local public measure to be voted upon at a single election shall be determined by the commissioner, and a letter shall be assigned to each local public measure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letter assigned by the commissioner shall be printed on the ballot at least ⅛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Even if only one public measure is to appear on a ballot to be voted upon at a single election, an identifying letter shall be assigned by the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21.200(3)</w:t>
      </w:r>
      <w:r>
        <w:rPr>
          <w:rFonts w:ascii="Times New Roman" w:hAnsi="Times New Roman"/>
          <w:b w:val="false"/>
          <w:i w:val="false"/>
          <w:color w:val="000000"/>
          <w:sz w:val="22"/>
        </w:rPr>
        <w:t> </w:t>
      </w:r>
      <w:r>
        <w:rPr>
          <w:rFonts w:ascii="Times New Roman" w:hAnsi="Times New Roman"/>
          <w:b w:val="false"/>
          <w:i w:val="false"/>
          <w:color w:val="000000"/>
          <w:sz w:val="22"/>
        </w:rPr>
        <w:t>The words describing proposed constitutional amendments and statewide public measures when they appear on the ballot shall be determined by the state commissioner. The state commissioner shall select the words describing the proposed constitutional amendments and statewide public measures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150 days prior to the election at which a proposed constitutional amendment or statewide public measure is to be voted on by the voters, the state commissioner shall prepare a proposed description to be used on the ballots in administrative rule form and shall file the proposed rules with the administrative rules coordinator for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rules shall provide that written comments regarding the proposed description will be accepted by the state commissioner for a period of time not less than 20 days after the date of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review any written comments which have been timely received and make any changes deemed to be warranted in the description to be printed on the ballots.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49.44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1.pdf" Type="http://schemas.openxmlformats.org/officeDocument/2006/relationships/hyperlink" Id="rId4"/>
    <Relationship TargetMode="External" Target="https://www.legis.iowa.gov/docs/ico/chapter/49.4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