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721—21.2</w:t>
      </w:r>
      <w:r>
        <w:rPr>
          <w:rFonts w:ascii="Times New Roman" w:hAnsi="Times New Roman"/>
          <w:b/>
          <w:i w:val="false"/>
          <w:color w:val="000000"/>
          <w:sz w:val="22"/>
        </w:rPr>
        <w:t xml:space="preserve">(47) </w:t>
      </w:r>
      <w:r>
        <w:rPr>
          <w:rFonts w:ascii="Times New Roman" w:hAnsi="Times New Roman"/>
          <w:b/>
          <w:i w:val="false"/>
          <w:color w:val="000000"/>
          <w:sz w:val="22"/>
        </w:rPr>
        <w:t xml:space="preserve">Electronic submission of absentee ballot applications and affidavits of candidacy. </w:t>
      </w:r>
      <w:r>
        <w:rPr>
          <w:rFonts w:ascii="Times New Roman" w:hAnsi="Times New Roman"/>
          <w:b w:val="false"/>
          <w:i w:val="false"/>
          <w:color w:val="000000"/>
          <w:sz w:val="22"/>
        </w:rPr>
        <w:t>Absentee ballot applications and affidavits of candidacy may be submitted electronically using either fax or email.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w:t>
      </w:r>
      <w:r>
        <w:rPr>
          <w:rFonts w:ascii="Times New Roman" w:hAnsi="Times New Roman"/>
          <w:b w:val="false"/>
          <w:i w:val="false"/>
          <w:color w:val="000000"/>
          <w:sz w:val="22"/>
        </w:rPr>
        <w:t> </w:t>
      </w:r>
      <w:r>
        <w:rPr>
          <w:rFonts w:ascii="Times New Roman" w:hAnsi="Times New Roman"/>
          <w:b w:val="false"/>
          <w:i/>
          <w:color w:val="000000"/>
          <w:sz w:val="22"/>
        </w:rPr>
        <w:t xml:space="preserve">Electronic copies of absentee ballot applications and affidavits of candidacy accepted for filing. </w:t>
      </w:r>
      <w:r>
        <w:rPr>
          <w:rFonts w:ascii="Times New Roman" w:hAnsi="Times New Roman"/>
          <w:b w:val="false"/>
          <w:i w:val="false"/>
          <w:color w:val="000000"/>
          <w:sz w:val="22"/>
        </w:rPr>
        <w:t xml:space="preserve">Assuming that all other legal requirements are met, absentee ballot applications and affidavits of candidacy required by Iowa Code chapters </w:t>
      </w:r>
      <w:hyperlink r:id="rId4">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44</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45</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161A</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260C</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277</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376</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420</w:t>
        </w:r>
      </w:hyperlink>
      <w:r>
        <w:rPr>
          <w:rFonts w:ascii="Times New Roman" w:hAnsi="Times New Roman"/>
          <w:b w:val="false"/>
          <w:i w:val="false"/>
          <w:color w:val="000000"/>
          <w:sz w:val="22"/>
        </w:rPr>
        <w:t xml:space="preserve"> may be submitted electronically by either fax or email if presented to the appropriate filing officer as an exact copy of the original and if the submission is in compliance with subrule </w:t>
      </w:r>
      <w:hyperlink r:id="rId12">
        <w:r>
          <w:rPr>
            <w:rStyle w:val="Hyperlink"/>
            <w:rFonts w:ascii="Times New Roman" w:hAnsi="Times New Roman"/>
            <w:b w:val="false"/>
            <w:i w:val="false"/>
            <w:color w:val="000000"/>
            <w:sz w:val="22"/>
          </w:rPr>
          <w:t>21.2(2)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21.2(2)</w:t>
      </w:r>
      <w:r>
        <w:rPr>
          <w:rFonts w:ascii="Times New Roman" w:hAnsi="Times New Roman"/>
          <w:b w:val="false"/>
          <w:i w:val="false"/>
          <w:color w:val="000000"/>
          <w:sz w:val="22"/>
        </w:rPr>
        <w:t> </w:t>
      </w:r>
      <w:r>
        <w:rPr>
          <w:rFonts w:ascii="Times New Roman" w:hAnsi="Times New Roman"/>
          <w:b w:val="false"/>
          <w:i/>
          <w:color w:val="000000"/>
          <w:sz w:val="22"/>
        </w:rPr>
        <w:t xml:space="preserve">Original absentee ballot applications. </w:t>
      </w:r>
      <w:r>
        <w:rPr>
          <w:rFonts w:ascii="Times New Roman" w:hAnsi="Times New Roman"/>
          <w:b w:val="false"/>
          <w:i w:val="false"/>
          <w:color w:val="000000"/>
          <w:sz w:val="22"/>
        </w:rPr>
        <w:t xml:space="preserve">The original absentee ballot application submitted electronically shall also be mailed or delivered to the commissioner. If mailed, the envelope bearing the original absentee ballot application shall be postmarked not later than the voter registration deadline provided in Iowa Code section </w:t>
      </w:r>
      <w:hyperlink r:id="rId13">
        <w:r>
          <w:rPr>
            <w:rStyle w:val="Hyperlink"/>
            <w:rFonts w:ascii="Times New Roman" w:hAnsi="Times New Roman"/>
            <w:b w:val="false"/>
            <w:i w:val="false"/>
            <w:color w:val="000000"/>
            <w:sz w:val="22"/>
          </w:rPr>
          <w:t>48A.9</w:t>
        </w:r>
      </w:hyperlink>
      <w:r>
        <w:rPr>
          <w:rFonts w:ascii="Times New Roman" w:hAnsi="Times New Roman"/>
          <w:b w:val="false"/>
          <w:i w:val="false"/>
          <w:color w:val="000000"/>
          <w:sz w:val="22"/>
        </w:rPr>
        <w:t xml:space="preserve"> for the election for which the ballot is requested. This subrule shall not apply to documents submitted electronically by UOCAVA voters pursuant to rule </w:t>
      </w:r>
      <w:hyperlink r:id="rId14">
        <w:r>
          <w:rPr>
            <w:rStyle w:val="Hyperlink"/>
            <w:rFonts w:ascii="Times New Roman" w:hAnsi="Times New Roman"/>
            <w:b w:val="false"/>
            <w:i w:val="false"/>
            <w:color w:val="000000"/>
            <w:sz w:val="22"/>
          </w:rPr>
          <w:t>721—21.320</w:t>
        </w:r>
      </w:hyperlink>
      <w:r>
        <w:rPr>
          <w:rFonts w:ascii="Times New Roman" w:hAnsi="Times New Roman"/>
          <w:b w:val="false"/>
          <w:i w:val="false"/>
          <w:color w:val="000000"/>
          <w:sz w:val="22"/>
        </w:rPr>
        <w:t>(53).</w:t>
      </w:r>
    </w:p>
    <w:p>
      <w:pPr>
        <w:spacing w:before="0" w:after="0"/>
        <w:ind w:left="120"/>
        <w:jc w:val="both"/>
      </w:pPr>
      <w:r>
        <w:rPr>
          <w:rFonts w:ascii="Times New Roman" w:hAnsi="Times New Roman"/>
          <w:b w:val="false"/>
          <w:i w:val="false"/>
          <w:color w:val="000000"/>
          <w:sz w:val="22"/>
        </w:rPr>
        <w:t>The voter’s absentee ballot shall be rejected by the absentee and special voters precinct board if the original absentee ballot application which was filed electronically is not received by the time the polls close on election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21.2(3)</w:t>
      </w:r>
      <w:r>
        <w:rPr>
          <w:rFonts w:ascii="Times New Roman" w:hAnsi="Times New Roman"/>
          <w:b w:val="false"/>
          <w:i w:val="false"/>
          <w:color w:val="000000"/>
          <w:sz w:val="22"/>
        </w:rPr>
        <w:t> </w:t>
      </w:r>
      <w:r>
        <w:rPr>
          <w:rFonts w:ascii="Times New Roman" w:hAnsi="Times New Roman"/>
          <w:b w:val="false"/>
          <w:i/>
          <w:color w:val="000000"/>
          <w:sz w:val="22"/>
        </w:rPr>
        <w:t xml:space="preserve">Original affidavits of candidacy. </w:t>
      </w:r>
      <w:r>
        <w:rPr>
          <w:rFonts w:ascii="Times New Roman" w:hAnsi="Times New Roman"/>
          <w:b w:val="false"/>
          <w:i w:val="false"/>
          <w:color w:val="000000"/>
          <w:sz w:val="22"/>
        </w:rPr>
        <w:t>The original copy of an affidavit of candidacy submitted electronically shall also be filed with the appropriate commissioner. The envelope bearing the original affidavit (if any) shall be postmarked not later than the last day to file the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filing shall be void if the original affidavit of candidacy filed electronically is not received within seven days after the filing deadline for the original affidavit of candidacy.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filing shall be void if the postmark on the envelope containing the original affidavit of candidacy is later than the filing deadline.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an affidavit of candidacy filing is voided because the original affidavit of candidacy submitted by facsimile machine was postmarked too late or arrives too late, the person who filed the document shall be notified immediately in writing.</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15">
        <w:r>
          <w:rPr>
            <w:rStyle w:val="Hyperlink"/>
            <w:rFonts w:ascii="Times New Roman" w:hAnsi="Times New Roman"/>
            <w:b w:val="false"/>
            <w:i w:val="false"/>
            <w:color w:val="000000"/>
            <w:sz w:val="22"/>
          </w:rPr>
          <w:t>43.11</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43.19</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43.54</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43.67</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43.78</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44.3</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45.3</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45.4</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46.20</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47.1</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47.2</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53.2</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53.8</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53.17</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53.22</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53.25</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53.40</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53.45</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61.3</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161A.5</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260C.15</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277.4</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376.4</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376.11</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420.130</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9879B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1831C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 xml:space="preserve">; </w:t>
      </w:r>
      <w:r>
        <w:rPr>
          <w:rFonts w:ascii="Times New Roman" w:hAnsi="Times New Roman"/>
          <w:b/>
          <w:i w:val="false"/>
          <w:color w:val="000000"/>
          <w:sz w:val="16"/>
        </w:rPr>
        <w:t>ARC 2663C</w:t>
      </w:r>
      <w:r>
        <w:rPr>
          <w:rFonts w:ascii="Times New Roman" w:hAnsi="Times New Roman"/>
          <w:b w:val="false"/>
          <w:i w:val="false"/>
          <w:color w:val="000000"/>
          <w:sz w:val="16"/>
        </w:rPr>
        <w:t>, IAB 8/3/16, effective 8/1/16</w:t>
      </w:r>
      <w:r>
        <w:rPr>
          <w:rFonts w:ascii="Times New Roman" w:hAnsi="Times New Roman"/>
          <w:b w:val="false"/>
          <w:i w:val="false"/>
          <w:color w:val="000000"/>
          <w:sz w:val="16"/>
        </w:rPr>
        <w:t xml:space="preserve">; </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 xml:space="preserve">; </w:t>
      </w:r>
      <w:r>
        <w:rPr>
          <w:rFonts w:ascii="Times New Roman" w:hAnsi="Times New Roman"/>
          <w:b/>
          <w:i w:val="false"/>
          <w:color w:val="000000"/>
          <w:sz w:val="16"/>
        </w:rPr>
        <w:t>ARC 6063C</w:t>
      </w:r>
      <w:r>
        <w:rPr>
          <w:rFonts w:ascii="Times New Roman" w:hAnsi="Times New Roman"/>
          <w:b w:val="false"/>
          <w:i w:val="false"/>
          <w:color w:val="000000"/>
          <w:sz w:val="16"/>
        </w:rPr>
        <w:t>, IAB 12/1/21, effective 1/5/22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3.pdf" Type="http://schemas.openxmlformats.org/officeDocument/2006/relationships/hyperlink" Id="rId4"/>
    <Relationship TargetMode="External" Target="https://www.legis.iowa.gov/docs/ico/chapter/44.pdf" Type="http://schemas.openxmlformats.org/officeDocument/2006/relationships/hyperlink" Id="rId5"/>
    <Relationship TargetMode="External" Target="https://www.legis.iowa.gov/docs/ico/chapter/45.pdf" Type="http://schemas.openxmlformats.org/officeDocument/2006/relationships/hyperlink" Id="rId6"/>
    <Relationship TargetMode="External" Target="https://www.legis.iowa.gov/docs/ico/chapter/161A.pdf" Type="http://schemas.openxmlformats.org/officeDocument/2006/relationships/hyperlink" Id="rId7"/>
    <Relationship TargetMode="External" Target="https://www.legis.iowa.gov/docs/ico/chapter/260C.pdf" Type="http://schemas.openxmlformats.org/officeDocument/2006/relationships/hyperlink" Id="rId8"/>
    <Relationship TargetMode="External" Target="https://www.legis.iowa.gov/docs/ico/chapter/277.pdf" Type="http://schemas.openxmlformats.org/officeDocument/2006/relationships/hyperlink" Id="rId9"/>
    <Relationship TargetMode="External" Target="https://www.legis.iowa.gov/docs/ico/chapter/376.pdf" Type="http://schemas.openxmlformats.org/officeDocument/2006/relationships/hyperlink" Id="rId10"/>
    <Relationship TargetMode="External" Target="https://www.legis.iowa.gov/docs/ico/chapter/420.pdf" Type="http://schemas.openxmlformats.org/officeDocument/2006/relationships/hyperlink" Id="rId11"/>
    <Relationship TargetMode="External" Target="https://www.legis.iowa.gov/docs/iac/rule/721.21.2.pdf" Type="http://schemas.openxmlformats.org/officeDocument/2006/relationships/hyperlink" Id="rId12"/>
    <Relationship TargetMode="External" Target="https://www.legis.iowa.gov/docs/ico/chapter/48A.9.pdf" Type="http://schemas.openxmlformats.org/officeDocument/2006/relationships/hyperlink" Id="rId13"/>
    <Relationship TargetMode="External" Target="https://www.legis.iowa.gov/docs/iac/rule/721.21.320.pdf" Type="http://schemas.openxmlformats.org/officeDocument/2006/relationships/hyperlink" Id="rId14"/>
    <Relationship TargetMode="External" Target="https://www.legis.iowa.gov/docs/ico/chapter/43.11.pdf" Type="http://schemas.openxmlformats.org/officeDocument/2006/relationships/hyperlink" Id="rId15"/>
    <Relationship TargetMode="External" Target="https://www.legis.iowa.gov/docs/ico/chapter/43.19.pdf" Type="http://schemas.openxmlformats.org/officeDocument/2006/relationships/hyperlink" Id="rId16"/>
    <Relationship TargetMode="External" Target="https://www.legis.iowa.gov/docs/ico/chapter/43.54.pdf" Type="http://schemas.openxmlformats.org/officeDocument/2006/relationships/hyperlink" Id="rId17"/>
    <Relationship TargetMode="External" Target="https://www.legis.iowa.gov/docs/ico/chapter/43.67.pdf" Type="http://schemas.openxmlformats.org/officeDocument/2006/relationships/hyperlink" Id="rId18"/>
    <Relationship TargetMode="External" Target="https://www.legis.iowa.gov/docs/ico/chapter/43.78.pdf" Type="http://schemas.openxmlformats.org/officeDocument/2006/relationships/hyperlink" Id="rId19"/>
    <Relationship TargetMode="External" Target="https://www.legis.iowa.gov/docs/ico/chapter/44.3.pdf" Type="http://schemas.openxmlformats.org/officeDocument/2006/relationships/hyperlink" Id="rId20"/>
    <Relationship TargetMode="External" Target="https://www.legis.iowa.gov/docs/ico/chapter/45.3.pdf" Type="http://schemas.openxmlformats.org/officeDocument/2006/relationships/hyperlink" Id="rId21"/>
    <Relationship TargetMode="External" Target="https://www.legis.iowa.gov/docs/ico/chapter/45.4.pdf" Type="http://schemas.openxmlformats.org/officeDocument/2006/relationships/hyperlink" Id="rId22"/>
    <Relationship TargetMode="External" Target="https://www.legis.iowa.gov/docs/ico/chapter/46.20.pdf" Type="http://schemas.openxmlformats.org/officeDocument/2006/relationships/hyperlink" Id="rId23"/>
    <Relationship TargetMode="External" Target="https://www.legis.iowa.gov/docs/ico/chapter/47.1.pdf" Type="http://schemas.openxmlformats.org/officeDocument/2006/relationships/hyperlink" Id="rId24"/>
    <Relationship TargetMode="External" Target="https://www.legis.iowa.gov/docs/ico/chapter/47.2.pdf" Type="http://schemas.openxmlformats.org/officeDocument/2006/relationships/hyperlink" Id="rId25"/>
    <Relationship TargetMode="External" Target="https://www.legis.iowa.gov/docs/ico/chapter/53.2.pdf" Type="http://schemas.openxmlformats.org/officeDocument/2006/relationships/hyperlink" Id="rId26"/>
    <Relationship TargetMode="External" Target="https://www.legis.iowa.gov/docs/ico/chapter/53.8.pdf" Type="http://schemas.openxmlformats.org/officeDocument/2006/relationships/hyperlink" Id="rId27"/>
    <Relationship TargetMode="External" Target="https://www.legis.iowa.gov/docs/ico/chapter/53.17.pdf" Type="http://schemas.openxmlformats.org/officeDocument/2006/relationships/hyperlink" Id="rId28"/>
    <Relationship TargetMode="External" Target="https://www.legis.iowa.gov/docs/ico/chapter/53.22.pdf" Type="http://schemas.openxmlformats.org/officeDocument/2006/relationships/hyperlink" Id="rId29"/>
    <Relationship TargetMode="External" Target="https://www.legis.iowa.gov/docs/ico/chapter/53.25.pdf" Type="http://schemas.openxmlformats.org/officeDocument/2006/relationships/hyperlink" Id="rId30"/>
    <Relationship TargetMode="External" Target="https://www.legis.iowa.gov/docs/ico/chapter/53.40.pdf" Type="http://schemas.openxmlformats.org/officeDocument/2006/relationships/hyperlink" Id="rId31"/>
    <Relationship TargetMode="External" Target="https://www.legis.iowa.gov/docs/ico/chapter/53.45.pdf" Type="http://schemas.openxmlformats.org/officeDocument/2006/relationships/hyperlink" Id="rId32"/>
    <Relationship TargetMode="External" Target="https://www.legis.iowa.gov/docs/ico/chapter/61.3.pdf" Type="http://schemas.openxmlformats.org/officeDocument/2006/relationships/hyperlink" Id="rId33"/>
    <Relationship TargetMode="External" Target="https://www.legis.iowa.gov/docs/ico/chapter/161A.5.pdf" Type="http://schemas.openxmlformats.org/officeDocument/2006/relationships/hyperlink" Id="rId34"/>
    <Relationship TargetMode="External" Target="https://www.legis.iowa.gov/docs/ico/chapter/260C.15.pdf" Type="http://schemas.openxmlformats.org/officeDocument/2006/relationships/hyperlink" Id="rId35"/>
    <Relationship TargetMode="External" Target="https://www.legis.iowa.gov/docs/ico/chapter/277.4.pdf" Type="http://schemas.openxmlformats.org/officeDocument/2006/relationships/hyperlink" Id="rId36"/>
    <Relationship TargetMode="External" Target="https://www.legis.iowa.gov/docs/ico/chapter/376.4.pdf" Type="http://schemas.openxmlformats.org/officeDocument/2006/relationships/hyperlink" Id="rId37"/>
    <Relationship TargetMode="External" Target="https://www.legis.iowa.gov/docs/ico/chapter/376.11.pdf" Type="http://schemas.openxmlformats.org/officeDocument/2006/relationships/hyperlink" Id="rId38"/>
    <Relationship TargetMode="External" Target="https://www.legis.iowa.gov/docs/ico/chapter/420.130.pdf" Type="http://schemas.openxmlformats.org/officeDocument/2006/relationships/hyperlink" Id="rId3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