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721—21.14</w:t>
      </w:r>
      <w:r>
        <w:rPr>
          <w:rFonts w:ascii="Times New Roman" w:hAnsi="Times New Roman"/>
          <w:b/>
          <w:i w:val="false"/>
          <w:color w:val="000000"/>
          <w:sz w:val="22"/>
        </w:rPr>
        <w:t xml:space="preserve">(53) </w:t>
      </w:r>
      <w:r>
        <w:rPr>
          <w:rFonts w:ascii="Times New Roman" w:hAnsi="Times New Roman"/>
          <w:b/>
          <w:i w:val="false"/>
          <w:color w:val="000000"/>
          <w:sz w:val="22"/>
        </w:rPr>
        <w:t xml:space="preserve">Intelligent Mail barcode (IMb) Tracing. </w:t>
      </w:r>
      <w:r>
        <w:rPr>
          <w:rFonts w:ascii="Times New Roman" w:hAnsi="Times New Roman"/>
          <w:b w:val="false"/>
          <w:i w:val="false"/>
          <w:color w:val="000000"/>
          <w:sz w:val="22"/>
        </w:rPr>
        <w:t xml:space="preserve">A commissioner shall use Intelligent Mail barcode (IMb) Tracing (IMb Tracing) to determine when an absentee ballot has entered into the federal mail system as an alternative to a traditional postmark verification for the purposes of Iowa Code sections </w:t>
      </w:r>
      <w:hyperlink r:id="rId4">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21.14(1)</w:t>
      </w:r>
      <w:r>
        <w:rPr>
          <w:rFonts w:ascii="Times New Roman" w:hAnsi="Times New Roman"/>
          <w:b w:val="false"/>
          <w:i w:val="false"/>
          <w:color w:val="000000"/>
          <w:sz w:val="22"/>
        </w:rPr>
        <w:t> </w:t>
      </w:r>
      <w:r>
        <w:rPr>
          <w:rFonts w:ascii="Times New Roman" w:hAnsi="Times New Roman"/>
          <w:b w:val="false"/>
          <w:i/>
          <w:color w:val="000000"/>
          <w:sz w:val="22"/>
        </w:rPr>
        <w:t xml:space="preserve">Notice to state commissioner of elections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 commissioner’s implementation of IMb Tracing for an election, notice must be sent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may not implement or discontinue the use of IMb Tracing while an election is open once absentee ballots have been mailed pursuant to Iowa Code section </w:t>
      </w:r>
      <w:hyperlink r:id="rId6">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commissioner may issue a waiver to paragraph </w:t>
      </w:r>
      <w:hyperlink r:id="rId7">
        <w:r>
          <w:rPr>
            <w:rStyle w:val="Hyperlink"/>
            <w:rFonts w:ascii="Times New Roman" w:hAnsi="Times New Roman"/>
            <w:b w:val="false"/>
            <w:i w:val="false"/>
            <w:color w:val="000000"/>
            <w:sz w:val="22"/>
          </w:rPr>
          <w:t>21.14(1)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commissioner’s ability to use IMb Tracing is impacted by issues beyond the commissioner’s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21.14(2)</w:t>
      </w:r>
      <w:r>
        <w:rPr>
          <w:rFonts w:ascii="Times New Roman" w:hAnsi="Times New Roman"/>
          <w:b w:val="false"/>
          <w:i w:val="false"/>
          <w:color w:val="000000"/>
          <w:sz w:val="22"/>
        </w:rPr>
        <w:t> </w:t>
      </w:r>
      <w:r>
        <w:rPr>
          <w:rFonts w:ascii="Times New Roman" w:hAnsi="Times New Roman"/>
          <w:b w:val="false"/>
          <w:i/>
          <w:color w:val="000000"/>
          <w:sz w:val="22"/>
        </w:rPr>
        <w:t xml:space="preserve">Determining the eligibility of IMb-marked absentee ballots. </w:t>
      </w:r>
      <w:r>
        <w:rPr>
          <w:rFonts w:ascii="Times New Roman" w:hAnsi="Times New Roman"/>
          <w:b w:val="false"/>
          <w:i w:val="false"/>
          <w:color w:val="000000"/>
          <w:sz w:val="22"/>
        </w:rPr>
        <w:t xml:space="preserve">An absentee ballot shall be counted once it is determined that the absentee ballot arrived in the federal mail system by the deadline specified in Iowa Code sections </w:t>
      </w:r>
      <w:hyperlink r:id="rId8">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ballot’s entry into the federal mail system may be verified either by a postmark or by information obtained through IMb Tracing. For absentee ballots received after election day, but before the official canvass: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postmark or IMb Tracing information indicates that an absentee ballot was received by the deadline specified in Iowa Code sections </w:t>
      </w:r>
      <w:hyperlink r:id="rId10">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ballot shall be included for canvass by the absentee and special voters precinct board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postmark is illegible, missing, or dated on or after election day, the commissioner shall attempt to verify the absentee ballot’s entry into the federal mail system by using the IMb Tracing information for the ballot. The commissioner shall provide all of the materials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a date discrepancy between the postmark and the IMb, the earlier of the two shall determine whether or not the absentee ballot can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neither the postmark nor the IMb indicate that the absentee ballot entered the federal mail system by the deadline specified in Iowa Code sections </w:t>
      </w:r>
      <w:hyperlink r:id="rId12">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the commissioner to the board must contain the numeric value assigned to the IMb barcode and a full report from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board member from each political party for partisan elections or two members from the board for nonpartisan elections shall review the IMb Tracing information provided by the commissioner and shall certify the information by initialing the envelope and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concludes that the IMb Tracing information verifies that the absentee ballot entered the federal mail system by the deadline specified in Iowa Code sections </w:t>
      </w:r>
      <w:hyperlink r:id="rId14">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21.14(3)</w:t>
      </w:r>
      <w:r>
        <w:rPr>
          <w:rFonts w:ascii="Times New Roman" w:hAnsi="Times New Roman"/>
          <w:b w:val="false"/>
          <w:i w:val="false"/>
          <w:color w:val="000000"/>
          <w:sz w:val="22"/>
        </w:rPr>
        <w:t> </w:t>
      </w:r>
      <w:r>
        <w:rPr>
          <w:rFonts w:ascii="Times New Roman" w:hAnsi="Times New Roman"/>
          <w:b w:val="false"/>
          <w:i/>
          <w:color w:val="000000"/>
          <w:sz w:val="22"/>
        </w:rPr>
        <w:t xml:space="preserve">Report to the state commissioner. </w:t>
      </w:r>
      <w:r>
        <w:rPr>
          <w:rFonts w:ascii="Times New Roman" w:hAnsi="Times New Roman"/>
          <w:b w:val="false"/>
          <w:i w:val="false"/>
          <w:color w:val="000000"/>
          <w:sz w:val="22"/>
        </w:rPr>
        <w:t>A commissioner who makes use of IMb Tracing shall file a report with the state commissioner for each general election no later than the first day of December following each general election. The report shall be on a form prescribed by the state commissioner.</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53.17A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E.6.pdf" Type="http://schemas.openxmlformats.org/officeDocument/2006/relationships/hyperlink" Id="rId4"/>
    <Relationship TargetMode="External" Target="https://www.legis.iowa.gov/docs/ico/chapter/53.44.pdf" Type="http://schemas.openxmlformats.org/officeDocument/2006/relationships/hyperlink" Id="rId5"/>
    <Relationship TargetMode="External" Target="https://www.legis.iowa.gov/docs/ico/chapter/53.8.pdf" Type="http://schemas.openxmlformats.org/officeDocument/2006/relationships/hyperlink" Id="rId6"/>
    <Relationship TargetMode="External" Target="https://www.legis.iowa.gov/docs/iac/rule/721.21.14.pdf" Type="http://schemas.openxmlformats.org/officeDocument/2006/relationships/hyperlink" Id="rId7"/>
    <Relationship TargetMode="External" Target="https://www.legis.iowa.gov/docs/ico/chapter/9E.6.pdf" Type="http://schemas.openxmlformats.org/officeDocument/2006/relationships/hyperlink" Id="rId8"/>
    <Relationship TargetMode="External" Target="https://www.legis.iowa.gov/docs/ico/chapter/53.44.pdf" Type="http://schemas.openxmlformats.org/officeDocument/2006/relationships/hyperlink" Id="rId9"/>
    <Relationship TargetMode="External" Target="https://www.legis.iowa.gov/docs/ico/chapter/9E.6.pdf" Type="http://schemas.openxmlformats.org/officeDocument/2006/relationships/hyperlink" Id="rId10"/>
    <Relationship TargetMode="External" Target="https://www.legis.iowa.gov/docs/ico/chapter/53.44.pdf" Type="http://schemas.openxmlformats.org/officeDocument/2006/relationships/hyperlink" Id="rId11"/>
    <Relationship TargetMode="External" Target="https://www.legis.iowa.gov/docs/ico/chapter/9E.6.pdf" Type="http://schemas.openxmlformats.org/officeDocument/2006/relationships/hyperlink" Id="rId12"/>
    <Relationship TargetMode="External" Target="https://www.legis.iowa.gov/docs/ico/chapter/53.44.pdf" Type="http://schemas.openxmlformats.org/officeDocument/2006/relationships/hyperlink" Id="rId13"/>
    <Relationship TargetMode="External" Target="https://www.legis.iowa.gov/docs/ico/chapter/9E.6.pdf" Type="http://schemas.openxmlformats.org/officeDocument/2006/relationships/hyperlink" Id="rId14"/>
    <Relationship TargetMode="External" Target="https://www.legis.iowa.gov/docs/ico/chapter/53.44.pdf" Type="http://schemas.openxmlformats.org/officeDocument/2006/relationships/hyperlink" Id="rId15"/>
    <Relationship TargetMode="External" Target="https://www.legis.iowa.gov/docs/ico/chapter/9E.6.pdf" Type="http://schemas.openxmlformats.org/officeDocument/2006/relationships/hyperlink" Id="rId16"/>
    <Relationship TargetMode="External" Target="https://www.legis.iowa.gov/docs/ico/chapter/53.17A.pdf" Type="http://schemas.openxmlformats.org/officeDocument/2006/relationships/hyperlink" Id="rId17"/>
    <Relationship TargetMode="External" Target="https://www.legis.iowa.gov/docs/ico/chapter/53.44.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