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721—21.103</w:t>
      </w:r>
      <w:r>
        <w:rPr>
          <w:rFonts w:ascii="Times New Roman" w:hAnsi="Times New Roman"/>
          <w:b/>
          <w:i w:val="false"/>
          <w:color w:val="000000"/>
          <w:sz w:val="22"/>
        </w:rPr>
        <w:t xml:space="preserve">(39A) </w:t>
      </w:r>
      <w:r>
        <w:rPr>
          <w:rFonts w:ascii="Times New Roman" w:hAnsi="Times New Roman"/>
          <w:b/>
          <w:i w:val="false"/>
          <w:color w:val="000000"/>
          <w:sz w:val="22"/>
        </w:rPr>
        <w:t xml:space="preserve">Election misconduct—investigation.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general or county attorney shall investigate allegations of election misconduct reported to the attorney general or county attorney. Election misconduct by an election official shall also be investigated for prosecution under Iowa Code chapter </w:t>
      </w:r>
      <w:hyperlink r:id="rId4">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21.103(2)</w:t>
      </w:r>
      <w:r>
        <w:rPr>
          <w:rFonts w:ascii="Times New Roman" w:hAnsi="Times New Roman"/>
          <w:b w:val="false"/>
          <w:i w:val="false"/>
          <w:color w:val="000000"/>
          <w:sz w:val="22"/>
        </w:rPr>
        <w:t> </w:t>
      </w:r>
      <w:r>
        <w:rPr>
          <w:rFonts w:ascii="Times New Roman" w:hAnsi="Times New Roman"/>
          <w:b w:val="false"/>
          <w:i w:val="false"/>
          <w:color w:val="000000"/>
          <w:sz w:val="22"/>
        </w:rPr>
        <w:t>Upon the completion of an investigation required by Iowa Code section 39A.7, the attorney general or county attorney shall submit the results of the investigation to the state commissioner in writing and explain whether the attorney general or county attorney will pursue charges. If the attorney general or county attorney will pursue charges, the attorney general or county attorney shall report the result of the final disposition of the case to the state commissioner.</w:t>
      </w:r>
    </w:p>
    <w:p>
      <w:pPr>
        <w:spacing w:before="0" w:after="0"/>
        <w:ind w:left="120"/>
        <w:jc w:val="left"/>
      </w:pPr>
      <w:r>
        <w:rPr>
          <w:rFonts w:ascii="Times New Roman" w:hAnsi="Times New Roman"/>
          <w:b w:val="false"/>
          <w:i w:val="false"/>
          <w:color w:val="000000"/>
          <w:sz w:val="22"/>
        </w:rPr>
        <w:t>This rule is intended to implement Iowa Code section 39A.7.</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2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