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Commissioner’s filings and notifications to state commissioner.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21.102(1)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commissioner shall certify to the state commissioner that all relevant election laws and requirements were followed as required by Iowa law. A form for the certification shall be published to the state commissioner’s website,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2017 Iowa Acts, House File 516, section 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21.102(2)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commissioner shall report each suspected incidence of election misconduct to the state commissioner regardless of proximity to any election, pursuant to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2017 Iowa Acts, House File 516, section 41(4)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 The commissioner shall provide to the state commissioner all updates as they are received by the commissioner from law enforcement.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2017 Iowa Acts, House File 516, section 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3447C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11/8/17, effective 12/31/17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