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721—21.101</w:t>
      </w:r>
      <w:r>
        <w:rPr>
          <w:rFonts w:ascii="Times New Roman" w:hAnsi="Times New Roman"/>
          <w:b/>
          <w:i w:val="false"/>
          <w:color w:val="000000"/>
          <w:sz w:val="22"/>
        </w:rPr>
        <w:t xml:space="preserve">(47) </w:t>
      </w:r>
      <w:r>
        <w:rPr>
          <w:rFonts w:ascii="Times New Roman" w:hAnsi="Times New Roman"/>
          <w:b/>
          <w:i w:val="false"/>
          <w:color w:val="000000"/>
          <w:sz w:val="22"/>
        </w:rPr>
        <w:t xml:space="preserve">State commissioner’s review of complaints. </w:t>
      </w:r>
      <w:r>
        <w:rPr>
          <w:rFonts w:ascii="Times New Roman" w:hAnsi="Times New Roman"/>
          <w:b w:val="false"/>
          <w:i w:val="false"/>
          <w:color w:val="000000"/>
          <w:sz w:val="22"/>
        </w:rPr>
        <w:t xml:space="preserve">Upon receiving credible information that a commissioner may have violated a provision in Iowa Code chapters </w:t>
      </w:r>
      <w:hyperlink r:id="rId4">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through </w:t>
      </w:r>
      <w:hyperlink r:id="rId5">
        <w:r>
          <w:rPr>
            <w:rStyle w:val="Hyperlink"/>
            <w:rFonts w:ascii="Times New Roman" w:hAnsi="Times New Roman"/>
            <w:b w:val="false"/>
            <w:i w:val="false"/>
            <w:color w:val="000000"/>
            <w:sz w:val="22"/>
          </w:rPr>
          <w:t>52</w:t>
        </w:r>
      </w:hyperlink>
      <w:r>
        <w:rPr>
          <w:rFonts w:ascii="Times New Roman" w:hAnsi="Times New Roman"/>
          <w:b w:val="false"/>
          <w:i w:val="false"/>
          <w:color w:val="000000"/>
          <w:sz w:val="22"/>
        </w:rPr>
        <w:t>, the state commissioner shall require the commissioner to provide more information, or certification that the commissioner complied with the relevant law. The determination of credibility is solely at the discretion of the state commissioner. The state commissioner may require a complaining party to provide more information. The state commissioner may reject anonymous complaints without any additional inquiry. If it appears that the complaint originated from the commissioner’s office, the state commissioner shall consult with the attorney general before proceeding.</w:t>
      </w:r>
    </w:p>
    <w:p>
      <w:pPr>
        <w:spacing w:before="0" w:after="0"/>
        <w:ind w:left="120"/>
        <w:jc w:val="left"/>
      </w:pPr>
      <w:r>
        <w:rPr>
          <w:rFonts w:ascii="Times New Roman" w:hAnsi="Times New Roman"/>
          <w:b w:val="false"/>
          <w:i w:val="false"/>
          <w:color w:val="000000"/>
          <w:sz w:val="22"/>
        </w:rPr>
        <w:t xml:space="preserve">If the state commissioner determines that a commissioner has not sufficiently responded to the inquiry, the state commissioner may issue a notice of infraction pursuant to Iowa Code chapter </w:t>
      </w:r>
      <w:hyperlink r:id="rId6">
        <w:r>
          <w:rPr>
            <w:rStyle w:val="Hyperlink"/>
            <w:rFonts w:ascii="Times New Roman" w:hAnsi="Times New Roman"/>
            <w:b w:val="false"/>
            <w:i w:val="false"/>
            <w:color w:val="000000"/>
            <w:sz w:val="22"/>
          </w:rPr>
          <w:t>39A</w:t>
        </w:r>
      </w:hyperlink>
      <w:r>
        <w:rPr>
          <w:rFonts w:ascii="Times New Roman" w:hAnsi="Times New Roman"/>
          <w:b w:val="false"/>
          <w:i w:val="false"/>
          <w:color w:val="000000"/>
          <w:sz w:val="22"/>
        </w:rPr>
        <w:t>, or refer the matter to the appropriate law enforcement agency, or both.</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47.1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2017 Iowa Acts, House File 516, section 41</w:t>
      </w:r>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9.pdf" Type="http://schemas.openxmlformats.org/officeDocument/2006/relationships/hyperlink" Id="rId4"/>
    <Relationship TargetMode="External" Target="https://www.legis.iowa.gov/docs/ico/chapter/52.pdf" Type="http://schemas.openxmlformats.org/officeDocument/2006/relationships/hyperlink" Id="rId5"/>
    <Relationship TargetMode="External" Target="https://www.legis.iowa.gov/docs/ico/chapter/39A.pdf" Type="http://schemas.openxmlformats.org/officeDocument/2006/relationships/hyperlink" Id="rId6"/>
    <Relationship TargetMode="External" Target="https://www.legis.iowa.gov/docs/ico/chapter/47.1.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