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721—21.1</w:t>
      </w:r>
      <w:r>
        <w:rPr>
          <w:rFonts w:ascii="Times New Roman" w:hAnsi="Times New Roman"/>
          <w:b/>
          <w:i w:val="false"/>
          <w:color w:val="000000"/>
          <w:sz w:val="22"/>
        </w:rPr>
        <w:t xml:space="preserve">(47) </w:t>
      </w:r>
      <w:r>
        <w:rPr>
          <w:rFonts w:ascii="Times New Roman" w:hAnsi="Times New Roman"/>
          <w:b/>
          <w:i w:val="false"/>
          <w:color w:val="000000"/>
          <w:sz w:val="22"/>
        </w:rPr>
        <w:t xml:space="preserve">Emergency election procedures. </w:t>
      </w:r>
      <w:r>
        <w:rPr>
          <w:rFonts w:ascii="Times New Roman" w:hAnsi="Times New Roman"/>
          <w:b w:val="false"/>
          <w:i w:val="false"/>
          <w:color w:val="000000"/>
          <w:sz w:val="22"/>
        </w:rPr>
        <w:t>The state commissioner of elections may exercise emergency powers over any election being held in a district in which either a natural or other disaster or extremely inclement weather has occurred. The state commissioner may also exercise emergency powers during an armed conflict involving United States armed forces, or mobilization of those forces, or if an election contest court finds that there were errors in the conduct of an election making it impossible to determine the result.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“Commissioner” </w:t>
      </w:r>
      <w:r>
        <w:rPr>
          <w:rFonts w:ascii="Times New Roman" w:hAnsi="Times New Roman"/>
          <w:b w:val="false"/>
          <w:i w:val="false"/>
          <w:color w:val="000000"/>
          <w:sz w:val="22"/>
        </w:rPr>
        <w:t>means the county commissioner of elections.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“Election contest court” </w:t>
      </w:r>
      <w:r>
        <w:rPr>
          <w:rFonts w:ascii="Times New Roman" w:hAnsi="Times New Roman"/>
          <w:b w:val="false"/>
          <w:i w:val="false"/>
          <w:color w:val="000000"/>
          <w:sz w:val="22"/>
        </w:rPr>
        <w:t xml:space="preserve">means any of the courts specified in Iowa Code sections </w:t>
      </w:r>
      <w:hyperlink r:id="rId4">
        <w:r>
          <w:rPr>
            <w:rStyle w:val="Hyperlink"/>
            <w:rFonts w:ascii="Times New Roman" w:hAnsi="Times New Roman"/>
            <w:b w:val="false"/>
            <w:i w:val="false"/>
            <w:color w:val="000000"/>
            <w:sz w:val="22"/>
          </w:rPr>
          <w:t>57.1</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58.4</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61.1</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62.1</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376.10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“Extremely inclement weather” </w:t>
      </w:r>
      <w:r>
        <w:rPr>
          <w:rFonts w:ascii="Times New Roman" w:hAnsi="Times New Roman"/>
          <w:b w:val="false"/>
          <w:i w:val="false"/>
          <w:color w:val="000000"/>
          <w:sz w:val="22"/>
        </w:rPr>
        <w:t>means a natural occurrence, such as a rainstorm, windstorm, ice storm, blizzard, tornado or other weather conditions, which makes travel extremely dangerous or which threatens the public peace, health and safety of the people or which damages and destroys public and private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“Natural disaster” </w:t>
      </w:r>
      <w:r>
        <w:rPr>
          <w:rFonts w:ascii="Times New Roman" w:hAnsi="Times New Roman"/>
          <w:b w:val="false"/>
          <w:i w:val="false"/>
          <w:color w:val="000000"/>
          <w:sz w:val="22"/>
        </w:rPr>
        <w:t>means a natural occurrence, such as a fire, flood, blizzard, earthquake, tornado, windstorm, ice storm, or other events, which threatens the public peace, health and safety of the people or which damages and destroys public and private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“Other disaster” </w:t>
      </w:r>
      <w:r>
        <w:rPr>
          <w:rFonts w:ascii="Times New Roman" w:hAnsi="Times New Roman"/>
          <w:b w:val="false"/>
          <w:i w:val="false"/>
          <w:color w:val="000000"/>
          <w:sz w:val="22"/>
        </w:rPr>
        <w:t>means an occurrence caused by machines or people, such as fire, hazardous substance or nuclear power plant accident or incident, which threatens the public peace, health and safety of the people or which damages and destroys public and private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commissioner” </w:t>
      </w:r>
      <w:r>
        <w:rPr>
          <w:rFonts w:ascii="Times New Roman" w:hAnsi="Times New Roman"/>
          <w:b w:val="false"/>
          <w:i w:val="false"/>
          <w:color w:val="000000"/>
          <w:sz w:val="22"/>
        </w:rPr>
        <w:t>means the state commissioner of elections.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w:t>
      </w:r>
      <w:r>
        <w:rPr>
          <w:rFonts w:ascii="Times New Roman" w:hAnsi="Times New Roman"/>
          <w:b w:val="false"/>
          <w:i w:val="false"/>
          <w:color w:val="000000"/>
          <w:sz w:val="22"/>
        </w:rPr>
        <w:t> </w:t>
      </w:r>
      <w:r>
        <w:rPr>
          <w:rFonts w:ascii="Times New Roman" w:hAnsi="Times New Roman"/>
          <w:b w:val="false"/>
          <w:i/>
          <w:color w:val="000000"/>
          <w:sz w:val="22"/>
        </w:rPr>
        <w:t xml:space="preserve">Notice of natural or other disaster or extremely inclement weather. </w:t>
      </w:r>
      <w:r>
        <w:rPr>
          <w:rFonts w:ascii="Times New Roman" w:hAnsi="Times New Roman"/>
          <w:b w:val="false"/>
          <w:i w:val="false"/>
          <w:color w:val="000000"/>
          <w:sz w:val="22"/>
        </w:rPr>
        <w:t>The county commissioner of elections, or the commissioner’s designee, may notify the state commissioner of elections that due to a natural or other disaster or extremely inclement weather an election cannot safely be conducted in the time or place for which the election is scheduled to be held. If the commissioner or the commissioner’s designee is unable to transmit notice of the hazardous conditions, the notice may be given by any elected county official. Verification of the commissioner’s agreement with the severity of the conditions and the danger to the election process shall be transmitted to the state commissioner as soon as possible. Notice may be given by telephone or by facsimile machine, but a signed notice shall also be delivered to the state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21.1(3)</w:t>
      </w:r>
      <w:r>
        <w:rPr>
          <w:rFonts w:ascii="Times New Roman" w:hAnsi="Times New Roman"/>
          <w:b w:val="false"/>
          <w:i w:val="false"/>
          <w:color w:val="000000"/>
          <w:sz w:val="22"/>
        </w:rPr>
        <w:t> </w:t>
      </w:r>
      <w:r>
        <w:rPr>
          <w:rFonts w:ascii="Times New Roman" w:hAnsi="Times New Roman"/>
          <w:b w:val="false"/>
          <w:i/>
          <w:color w:val="000000"/>
          <w:sz w:val="22"/>
        </w:rPr>
        <w:t xml:space="preserve">Declaration of emergency due to natural or other disaster or extremely inclement weather. </w:t>
      </w:r>
      <w:r>
        <w:rPr>
          <w:rFonts w:ascii="Times New Roman" w:hAnsi="Times New Roman"/>
          <w:b w:val="false"/>
          <w:i w:val="false"/>
          <w:color w:val="000000"/>
          <w:sz w:val="22"/>
        </w:rPr>
        <w:t>After receiving notice of hazardous conditions, the state commissioner of elections, or the state commissioner’s designee, may declare that an emergency exists in the affected precinct or precincts. A copy of the declaration of the emergency shall be provided to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21.1(4)</w:t>
      </w:r>
      <w:r>
        <w:rPr>
          <w:rFonts w:ascii="Times New Roman" w:hAnsi="Times New Roman"/>
          <w:b w:val="false"/>
          <w:i w:val="false"/>
          <w:color w:val="000000"/>
          <w:sz w:val="22"/>
        </w:rPr>
        <w:t> </w:t>
      </w:r>
      <w:r>
        <w:rPr>
          <w:rFonts w:ascii="Times New Roman" w:hAnsi="Times New Roman"/>
          <w:b w:val="false"/>
          <w:i/>
          <w:color w:val="000000"/>
          <w:sz w:val="22"/>
        </w:rPr>
        <w:t xml:space="preserve">Emergency modifications to conduct of elections. </w:t>
      </w:r>
      <w:r>
        <w:rPr>
          <w:rFonts w:ascii="Times New Roman" w:hAnsi="Times New Roman"/>
          <w:b w:val="false"/>
          <w:i w:val="false"/>
          <w:color w:val="000000"/>
          <w:sz w:val="22"/>
        </w:rPr>
        <w:t>When the state commissioner of elections has declared that an emergency exists due to a natural or other disaster or to extremely inclement weather, the county commissioner of elections, or the commissioner’s designee, shall consult with the state commissioner to develop a plan to conduct the election under the emergency conditions. All modifications to the usual method for conducting elections shall be approved in advance by the state commissioner unless prior approval is impossible to obtain.</w:t>
      </w:r>
    </w:p>
    <w:p>
      <w:pPr>
        <w:spacing w:before="0" w:after="0"/>
        <w:ind w:left="120"/>
        <w:jc w:val="both"/>
      </w:pPr>
      <w:r>
        <w:rPr>
          <w:rFonts w:ascii="Times New Roman" w:hAnsi="Times New Roman"/>
          <w:b w:val="false"/>
          <w:i w:val="false"/>
          <w:color w:val="000000"/>
          <w:sz w:val="22"/>
        </w:rPr>
        <w:t>Modifications may be made to the method for conducting the election including relocation of the polling place, postponement of the hour of opening the polls, postponement of the date of the election if no candidates for federal offices are on the ballot, reduction in the number of precinct election officials in nonpartisan elections, or other reasonable and prudent modifications that will permit the election to be conducted.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21.1(5)</w:t>
      </w:r>
      <w:r>
        <w:rPr>
          <w:rFonts w:ascii="Times New Roman" w:hAnsi="Times New Roman"/>
          <w:b w:val="false"/>
          <w:i w:val="false"/>
          <w:color w:val="000000"/>
          <w:sz w:val="22"/>
        </w:rPr>
        <w:t> </w:t>
      </w:r>
      <w:r>
        <w:rPr>
          <w:rFonts w:ascii="Times New Roman" w:hAnsi="Times New Roman"/>
          <w:b w:val="false"/>
          <w:i/>
          <w:color w:val="000000"/>
          <w:sz w:val="22"/>
        </w:rPr>
        <w:t xml:space="preserve">Relocation of polling place. </w:t>
      </w:r>
      <w:r>
        <w:rPr>
          <w:rFonts w:ascii="Times New Roman" w:hAnsi="Times New Roman"/>
          <w:b w:val="false"/>
          <w:i w:val="false"/>
          <w:color w:val="000000"/>
          <w:sz w:val="22"/>
        </w:rPr>
        <w:t>The substitute polling place shall be as close as possible to the usual polling place and shall be within the same precinct if possible. Preference shall be given to buildings which are accessible to the elderly and disabled. Buildings supported by taxation shall be made available without charge by the authorities responsible for their administration. If it is necessary, more than one precinct may be located in the same room.</w:t>
      </w:r>
    </w:p>
    <w:p>
      <w:pPr>
        <w:spacing w:before="0" w:after="0"/>
        <w:ind w:left="120"/>
        <w:jc w:val="both"/>
      </w:pPr>
      <w:r>
        <w:rPr>
          <w:rFonts w:ascii="Times New Roman" w:hAnsi="Times New Roman"/>
          <w:b w:val="false"/>
          <w:i w:val="false"/>
          <w:color w:val="000000"/>
          <w:sz w:val="22"/>
        </w:rPr>
        <w:t>A notice of the location of the substitute polling place shall be posted on the door of the former polling place not later than one hour before the scheduled time for opening the polls or as soon as possible. If it is unsafe or impossible to post the sign on the door of the former polling place, the notice shall be posted in some other visible place at or near the site of the former polling place. If time permits, notice of the relocation of the polling place shall be published in the same newspaper in which notice of election was published, otherwise notice of relocation may be published in any newspaper of general circulation in the political subdivision which will appear on or before election day. The commissioner shall inform all broadcast media and print news organizations serving the jurisdiction of the modifications.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21.1(6)</w:t>
      </w:r>
      <w:r>
        <w:rPr>
          <w:rFonts w:ascii="Times New Roman" w:hAnsi="Times New Roman"/>
          <w:b w:val="false"/>
          <w:i w:val="false"/>
          <w:color w:val="000000"/>
          <w:sz w:val="22"/>
        </w:rPr>
        <w:t> </w:t>
      </w:r>
      <w:r>
        <w:rPr>
          <w:rFonts w:ascii="Times New Roman" w:hAnsi="Times New Roman"/>
          <w:b w:val="false"/>
          <w:i/>
          <w:color w:val="000000"/>
          <w:sz w:val="22"/>
        </w:rPr>
        <w:t xml:space="preserve">Postponement of election. </w:t>
      </w:r>
      <w:r>
        <w:rPr>
          <w:rFonts w:ascii="Times New Roman" w:hAnsi="Times New Roman"/>
          <w:b w:val="false"/>
          <w:i w:val="false"/>
          <w:color w:val="000000"/>
          <w:sz w:val="22"/>
        </w:rPr>
        <w:t>An election, other than an election at which a federal office appears on the ballot, may be postponed until the following Tuesday. If the election involves more than one precinct, the postponement must include all precincts within the political subdivision. If the election is postponed, ballots shall not be reprinted to reflect the modification in the election date. The date of the close of voter preregistration by mail for the election shall not be extended. Precinct election registers prepared for the original election date may be used or reprinted at the commissioner’s discretion.</w:t>
      </w:r>
    </w:p>
    <w:p>
      <w:pPr>
        <w:spacing w:before="0" w:after="0"/>
        <w:ind w:left="120"/>
        <w:jc w:val="both"/>
      </w:pPr>
      <w:r>
        <w:rPr>
          <w:rFonts w:ascii="Times New Roman" w:hAnsi="Times New Roman"/>
          <w:b w:val="false"/>
          <w:i w:val="false"/>
          <w:color w:val="000000"/>
          <w:sz w:val="22"/>
        </w:rPr>
        <w:t>On the day that the postponed election is actually held, all election day procedures must be repeated.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21.1(7)</w:t>
      </w:r>
      <w:r>
        <w:rPr>
          <w:rFonts w:ascii="Times New Roman" w:hAnsi="Times New Roman"/>
          <w:b w:val="false"/>
          <w:i w:val="false"/>
          <w:color w:val="000000"/>
          <w:sz w:val="22"/>
        </w:rPr>
        <w:t> </w:t>
      </w:r>
      <w:r>
        <w:rPr>
          <w:rFonts w:ascii="Times New Roman" w:hAnsi="Times New Roman"/>
          <w:b w:val="false"/>
          <w:i/>
          <w:color w:val="000000"/>
          <w:sz w:val="22"/>
        </w:rPr>
        <w:t xml:space="preserve">Absentee voting in postponed elections. </w:t>
      </w:r>
      <w:r>
        <w:rPr>
          <w:rFonts w:ascii="Times New Roman" w:hAnsi="Times New Roman"/>
          <w:b w:val="false"/>
          <w:i w:val="false"/>
          <w:color w:val="000000"/>
          <w:sz w:val="22"/>
        </w:rPr>
        <w:t xml:space="preserve">Absentee ballots shall be delivered to voters pursuant to Iowa Code section </w:t>
      </w:r>
      <w:hyperlink r:id="rId9">
        <w:r>
          <w:rPr>
            <w:rStyle w:val="Hyperlink"/>
            <w:rFonts w:ascii="Times New Roman" w:hAnsi="Times New Roman"/>
            <w:b w:val="false"/>
            <w:i w:val="false"/>
            <w:color w:val="000000"/>
            <w:sz w:val="22"/>
          </w:rPr>
          <w:t>53.22</w:t>
        </w:r>
      </w:hyperlink>
      <w:r>
        <w:rPr>
          <w:rFonts w:ascii="Times New Roman" w:hAnsi="Times New Roman"/>
          <w:b w:val="false"/>
          <w:i w:val="false"/>
          <w:color w:val="000000"/>
          <w:sz w:val="22"/>
        </w:rPr>
        <w:t xml:space="preserve"> until the date the election is actually held. Absentee ballots shall be accepted at the commissioner’s office until the hour the polls close on the date the election is held. Absentee ballots which are postmarked or which bear an Intelligent Mail barcode (IMb) traceable to a date of entry into the federal mail system no later than the day before the election is actually held shall be accepted if received no later than the time prescribed by the Iowa Code for the usual conduct of the election. The time shall be calculated from the date on which the election is held, not the date for which the election was originally scheduled. However, if absentee ballots have been tabulated before the election is postponed, the absentee ballots shall be sealed in an envelope by the absentee and special voters precinct board and stored securely until the date the election is actually held. The sealed envelopes shall be opened by the absentee and special voters precinct board on the date the election is actually held, counters on the tabulating equipment (if any) shall be reset to zero, and all absentee ballots tabulated on the original election date shall be retabulated.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21.1(8)</w:t>
      </w:r>
      <w:r>
        <w:rPr>
          <w:rFonts w:ascii="Times New Roman" w:hAnsi="Times New Roman"/>
          <w:b w:val="false"/>
          <w:i w:val="false"/>
          <w:color w:val="000000"/>
          <w:sz w:val="22"/>
        </w:rPr>
        <w:t> </w:t>
      </w:r>
      <w:r>
        <w:rPr>
          <w:rFonts w:ascii="Times New Roman" w:hAnsi="Times New Roman"/>
          <w:b w:val="false"/>
          <w:i/>
          <w:color w:val="000000"/>
          <w:sz w:val="22"/>
        </w:rPr>
        <w:t xml:space="preserve">Absentee and special voters precinct board in postponed elections. </w:t>
      </w:r>
      <w:r>
        <w:rPr>
          <w:rFonts w:ascii="Times New Roman" w:hAnsi="Times New Roman"/>
          <w:b w:val="false"/>
          <w:i w:val="false"/>
          <w:color w:val="000000"/>
          <w:sz w:val="22"/>
        </w:rPr>
        <w:t xml:space="preserve">The absentee and special voters precinct board shall meet to consider provisional ballots at the times specified in Iowa Code sections </w:t>
      </w:r>
      <w:hyperlink r:id="rId10">
        <w:r>
          <w:rPr>
            <w:rStyle w:val="Hyperlink"/>
            <w:rFonts w:ascii="Times New Roman" w:hAnsi="Times New Roman"/>
            <w:b w:val="false"/>
            <w:i w:val="false"/>
            <w:color w:val="000000"/>
            <w:sz w:val="22"/>
          </w:rPr>
          <w:t>50.22</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52.23</w:t>
        </w:r>
      </w:hyperlink>
      <w:r>
        <w:rPr>
          <w:rFonts w:ascii="Times New Roman" w:hAnsi="Times New Roman"/>
          <w:b w:val="false"/>
          <w:i w:val="false"/>
          <w:color w:val="000000"/>
          <w:sz w:val="22"/>
        </w:rPr>
        <w:t>, calculated from the date the election is held. No absentee ballots shall be counted until the date the election is held.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21.1(9)</w:t>
      </w:r>
      <w:r>
        <w:rPr>
          <w:rFonts w:ascii="Times New Roman" w:hAnsi="Times New Roman"/>
          <w:b w:val="false"/>
          <w:i w:val="false"/>
          <w:color w:val="000000"/>
          <w:sz w:val="22"/>
        </w:rPr>
        <w:t> </w:t>
      </w:r>
      <w:r>
        <w:rPr>
          <w:rFonts w:ascii="Times New Roman" w:hAnsi="Times New Roman"/>
          <w:b w:val="false"/>
          <w:i/>
          <w:color w:val="000000"/>
          <w:sz w:val="22"/>
        </w:rPr>
        <w:t xml:space="preserve">Canvass of votes in postponed elections. </w:t>
      </w:r>
      <w:r>
        <w:rPr>
          <w:rFonts w:ascii="Times New Roman" w:hAnsi="Times New Roman"/>
          <w:b w:val="false"/>
          <w:i w:val="false"/>
          <w:color w:val="000000"/>
          <w:sz w:val="22"/>
        </w:rPr>
        <w:t>The canvass of votes shall also be rescheduled for one week after the originally scheduled canvass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21.1(10)</w:t>
      </w:r>
      <w:r>
        <w:rPr>
          <w:rFonts w:ascii="Times New Roman" w:hAnsi="Times New Roman"/>
          <w:b w:val="false"/>
          <w:i w:val="false"/>
          <w:color w:val="000000"/>
          <w:sz w:val="22"/>
        </w:rPr>
        <w:t> </w:t>
      </w:r>
      <w:r>
        <w:rPr>
          <w:rFonts w:ascii="Times New Roman" w:hAnsi="Times New Roman"/>
          <w:b w:val="false"/>
          <w:i/>
          <w:color w:val="000000"/>
          <w:sz w:val="22"/>
        </w:rPr>
        <w:t xml:space="preserve">Postponements made on election day. </w:t>
      </w:r>
      <w:r>
        <w:rPr>
          <w:rFonts w:ascii="Times New Roman" w:hAnsi="Times New Roman"/>
          <w:b w:val="false"/>
          <w:i w:val="false"/>
          <w:color w:val="000000"/>
          <w:sz w:val="22"/>
        </w:rPr>
        <w:t>If the emergency is declared while the polls are open and the decision is made to postpone the election, each precinct polling place in the political subdivision shall be notified to close its doors and to halt all voting immediately. People present in the polling place who are waiting to vote shall not be given ballots. People who have received and marked their ballots shall deposit them in the ballot box; unmarked ballots may be returned to the precinct election officials.</w:t>
      </w:r>
    </w:p>
    <w:p>
      <w:pPr>
        <w:spacing w:before="0" w:after="0"/>
        <w:ind w:left="120"/>
        <w:jc w:val="both"/>
      </w:pPr>
      <w:r>
        <w:rPr>
          <w:rFonts w:ascii="Times New Roman" w:hAnsi="Times New Roman"/>
          <w:b w:val="false"/>
          <w:i w:val="false"/>
          <w:color w:val="000000"/>
          <w:sz w:val="22"/>
        </w:rPr>
        <w:t>The precinct election officials shall seal all ballots which were cast before the declaration of the emergency in secure containers. The containers shall be clearly marked as ballots from the postponed election. If it is safe to do so, the ballot containers, election register, and other election supplies shall be transported to the commissioner’s office. The ballots shall be stored in a secure place. If it is unsafe to travel to the commissioner’s office, the chairperson of the precinct election board shall see that the ballots and the election register are securely stored until it is safe to return them to the commissioner. If no contest is pending six months after the canvass for the election is completed, the unopened, sealed ballot containers shall be destroyed.</w:t>
      </w:r>
    </w:p>
    <w:p>
      <w:pPr>
        <w:spacing w:before="0" w:after="0"/>
        <w:ind w:left="120"/>
        <w:jc w:val="both"/>
      </w:pPr>
      <w:r>
        <w:rPr>
          <w:rFonts w:ascii="Times New Roman" w:hAnsi="Times New Roman"/>
          <w:b w:val="false"/>
          <w:i w:val="false"/>
          <w:color w:val="000000"/>
          <w:sz w:val="22"/>
        </w:rPr>
        <w:t>If automatic tabulating equipment is used, the automatic tabulating equipment shall be closed and sealed without printing the results. Before the date the election is held, the automatic tabulating equipment shall be reset to zero. Documents showing the progress of the count, if any, shall be sealed in an envelope and stored. No one shall reveal the progress of the count. After six months, the sealed envelope containing the vote totals shall be destroyed if no contest is pending.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21.1(11)</w:t>
      </w:r>
      <w:r>
        <w:rPr>
          <w:rFonts w:ascii="Times New Roman" w:hAnsi="Times New Roman"/>
          <w:b w:val="false"/>
          <w:i w:val="false"/>
          <w:color w:val="000000"/>
          <w:sz w:val="22"/>
        </w:rPr>
        <w:t> </w:t>
      </w:r>
      <w:r>
        <w:rPr>
          <w:rFonts w:ascii="Times New Roman" w:hAnsi="Times New Roman"/>
          <w:b w:val="false"/>
          <w:i/>
          <w:color w:val="000000"/>
          <w:sz w:val="22"/>
        </w:rPr>
        <w:t xml:space="preserve">Records kept. </w:t>
      </w:r>
      <w:r>
        <w:rPr>
          <w:rFonts w:ascii="Times New Roman" w:hAnsi="Times New Roman"/>
          <w:b w:val="false"/>
          <w:i w:val="false"/>
          <w:color w:val="000000"/>
          <w:sz w:val="22"/>
        </w:rPr>
        <w:t>The state commissioner of elections shall maintain records of each emergency declaration. The records of emergency declarations for federal elections shall be kept for 22 months, and records for all other elections shall be kept for six months following the election. The records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county in which the emergency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 and time the emergency declaration was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and title of the person making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Name and date of the election affected.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jurisdiction for which the election is to be conducted (school, city, county, or 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number of precincts in the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number of precincts affected by the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nature of the emergency, i.e., natural or other disaster, or extremely inclement weather.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date or dates of the occurrence of the natural or other disaster or extremely inclement weather.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Conditions affecting the conduct of the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Whether the polling places may safely be opened on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Action taken: such as moving the polling place, change voting system, postpone election until the following Tuesday.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Method to be used to inform the public of changes made in the election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The signature of the state commissioner or the state commissioner’s designee who was responsible for declaring the emergency.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21.1(12)</w:t>
      </w:r>
      <w:r>
        <w:rPr>
          <w:rFonts w:ascii="Times New Roman" w:hAnsi="Times New Roman"/>
          <w:b w:val="false"/>
          <w:i w:val="false"/>
          <w:color w:val="000000"/>
          <w:sz w:val="22"/>
        </w:rPr>
        <w:t> </w:t>
      </w:r>
      <w:r>
        <w:rPr>
          <w:rFonts w:ascii="Times New Roman" w:hAnsi="Times New Roman"/>
          <w:b w:val="false"/>
          <w:i/>
          <w:color w:val="000000"/>
          <w:sz w:val="22"/>
        </w:rPr>
        <w:t xml:space="preserve">Federal elections.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an emergency occurs that will adversely affect the conduct of an election at which candidates for federal office will appear on the ballot, the election shall not be postponed or delayed. Emergency measures shall be limited to relocation of polling places, modification of the method of voting, reduction of the number of precinct election officials at a precinct and other modifications of prescribed election procedures which will enable the election to be conducted on the date and during the hours required by law.</w:t>
      </w:r>
    </w:p>
    <w:p>
      <w:pPr>
        <w:spacing w:before="0" w:after="0"/>
        <w:ind w:left="120"/>
        <w:jc w:val="both"/>
      </w:pPr>
      <w:r>
        <w:rPr>
          <w:rFonts w:ascii="Times New Roman" w:hAnsi="Times New Roman"/>
          <w:b w:val="false"/>
          <w:i w:val="false"/>
          <w:color w:val="000000"/>
          <w:sz w:val="22"/>
        </w:rPr>
        <w:t xml:space="preserve">The primary election held in June of even-numbered years and the general election held in November of even-numbered years shall not be postponed. Special elections called by the governor pursuant to Iowa Code section </w:t>
      </w:r>
      <w:hyperlink r:id="rId12">
        <w:r>
          <w:rPr>
            <w:rStyle w:val="Hyperlink"/>
            <w:rFonts w:ascii="Times New Roman" w:hAnsi="Times New Roman"/>
            <w:b w:val="false"/>
            <w:i w:val="false"/>
            <w:color w:val="000000"/>
            <w:sz w:val="22"/>
          </w:rPr>
          <w:t>69.14</w:t>
        </w:r>
      </w:hyperlink>
      <w:r>
        <w:rPr>
          <w:rFonts w:ascii="Times New Roman" w:hAnsi="Times New Roman"/>
          <w:b w:val="false"/>
          <w:i w:val="false"/>
          <w:color w:val="000000"/>
          <w:sz w:val="22"/>
        </w:rPr>
        <w:t xml:space="preserve"> shall not be postponed unless no federal office appears on the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 federal or state court order extends the time established for closing the polls pursuant to Iowa Code section </w:t>
      </w:r>
      <w:hyperlink r:id="rId13">
        <w:r>
          <w:rPr>
            <w:rStyle w:val="Hyperlink"/>
            <w:rFonts w:ascii="Times New Roman" w:hAnsi="Times New Roman"/>
            <w:b w:val="false"/>
            <w:i w:val="false"/>
            <w:color w:val="000000"/>
            <w:sz w:val="22"/>
          </w:rPr>
          <w:t>49.73</w:t>
        </w:r>
      </w:hyperlink>
      <w:r>
        <w:rPr>
          <w:rFonts w:ascii="Times New Roman" w:hAnsi="Times New Roman"/>
          <w:b w:val="false"/>
          <w:i w:val="false"/>
          <w:color w:val="000000"/>
          <w:sz w:val="22"/>
        </w:rPr>
        <w:t xml:space="preserve">, any person who votes after the statutory hour for closing the polls shall vote only by casting a provisional ballot pursuant to Iowa Code section </w:t>
      </w:r>
      <w:hyperlink r:id="rId14">
        <w:r>
          <w:rPr>
            <w:rStyle w:val="Hyperlink"/>
            <w:rFonts w:ascii="Times New Roman" w:hAnsi="Times New Roman"/>
            <w:b w:val="false"/>
            <w:i w:val="false"/>
            <w:color w:val="000000"/>
            <w:sz w:val="22"/>
          </w:rPr>
          <w:t>49.81</w:t>
        </w:r>
      </w:hyperlink>
      <w:r>
        <w:rPr>
          <w:rFonts w:ascii="Times New Roman" w:hAnsi="Times New Roman"/>
          <w:b w:val="false"/>
          <w:i w:val="false"/>
          <w:color w:val="000000"/>
          <w:sz w:val="22"/>
        </w:rPr>
        <w:t>. Provisional ballots cast after the statutory hour for closing the polls shall be sealed in a separate envelope from provisional ballots cast during the statutory polling hours. The absentee and special voters precinct board shall tabulate and report the results of the two sets of provisional ballots separately.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21.1(13)</w:t>
      </w:r>
      <w:r>
        <w:rPr>
          <w:rFonts w:ascii="Times New Roman" w:hAnsi="Times New Roman"/>
          <w:b w:val="false"/>
          <w:i w:val="false"/>
          <w:color w:val="000000"/>
          <w:sz w:val="22"/>
        </w:rPr>
        <w:t> </w:t>
      </w:r>
      <w:r>
        <w:rPr>
          <w:rFonts w:ascii="Times New Roman" w:hAnsi="Times New Roman"/>
          <w:b w:val="false"/>
          <w:i/>
          <w:color w:val="000000"/>
          <w:sz w:val="22"/>
        </w:rPr>
        <w:t xml:space="preserve">Military emergencies. </w:t>
      </w:r>
      <w:r>
        <w:rPr>
          <w:rFonts w:ascii="Times New Roman" w:hAnsi="Times New Roman"/>
          <w:b w:val="false"/>
          <w:i w:val="false"/>
          <w:color w:val="000000"/>
          <w:sz w:val="22"/>
        </w:rPr>
        <w:t xml:space="preserve">A voter who is entitled to vote by absentee ballot under the federal Uniformed and Overseas Citizens Absentee Voting Act (UOCAVA) and Iowa Code chapter </w:t>
      </w:r>
      <w:hyperlink r:id="rId15">
        <w:r>
          <w:rPr>
            <w:rStyle w:val="Hyperlink"/>
            <w:rFonts w:ascii="Times New Roman" w:hAnsi="Times New Roman"/>
            <w:b w:val="false"/>
            <w:i w:val="false"/>
            <w:color w:val="000000"/>
            <w:sz w:val="22"/>
          </w:rPr>
          <w:t>53</w:t>
        </w:r>
      </w:hyperlink>
      <w:r>
        <w:rPr>
          <w:rFonts w:ascii="Times New Roman" w:hAnsi="Times New Roman"/>
          <w:b w:val="false"/>
          <w:i w:val="false"/>
          <w:color w:val="000000"/>
          <w:sz w:val="22"/>
        </w:rPr>
        <w:t xml:space="preserve">, division II, “Absent Voting by Armed Forces,” may return an absentee ballot via electronic transmission only if the voter is located in an area designated by the U.S. Department of Defense to be an imminent danger pay area or if the voter is an active member of the army, navy, marine corps, merchant marine, coast guard, air force or Iowa national guard and is located outside the United States or any of its territories. Procedures for the return of absentee ballots by electronic transmission are described in subrule </w:t>
      </w:r>
      <w:hyperlink r:id="rId16">
        <w:r>
          <w:rPr>
            <w:rStyle w:val="Hyperlink"/>
            <w:rFonts w:ascii="Times New Roman" w:hAnsi="Times New Roman"/>
            <w:b w:val="false"/>
            <w:i w:val="false"/>
            <w:color w:val="000000"/>
            <w:sz w:val="22"/>
          </w:rPr>
          <w:t>21.320(4)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21.1(14)</w:t>
      </w:r>
      <w:r>
        <w:rPr>
          <w:rFonts w:ascii="Times New Roman" w:hAnsi="Times New Roman"/>
          <w:b w:val="false"/>
          <w:i w:val="false"/>
          <w:color w:val="000000"/>
          <w:sz w:val="22"/>
        </w:rPr>
        <w:t> </w:t>
      </w:r>
      <w:r>
        <w:rPr>
          <w:rFonts w:ascii="Times New Roman" w:hAnsi="Times New Roman"/>
          <w:b w:val="false"/>
          <w:i/>
          <w:color w:val="000000"/>
          <w:sz w:val="22"/>
        </w:rPr>
        <w:t xml:space="preserve">Election contest emergency. </w:t>
      </w:r>
      <w:r>
        <w:rPr>
          <w:rFonts w:ascii="Times New Roman" w:hAnsi="Times New Roman"/>
          <w:b w:val="false"/>
          <w:i w:val="false"/>
          <w:color w:val="000000"/>
          <w:sz w:val="22"/>
        </w:rPr>
        <w:t>If an election contest court finds that there were errors in the conduct of an election which make it impossible to determine the result of the election, the contest court shall notify the state commissioner of elections of its finding. The state commissioner shall order a repeat election to be held. The repeat election date shall be set by the state commissioner. The repeat election shall be conducted under the state commissioner’s supervision.</w:t>
      </w:r>
    </w:p>
    <w:p>
      <w:pPr>
        <w:spacing w:before="0" w:after="0"/>
        <w:ind w:left="120"/>
        <w:jc w:val="both"/>
      </w:pPr>
      <w:r>
        <w:rPr>
          <w:rFonts w:ascii="Times New Roman" w:hAnsi="Times New Roman"/>
          <w:b w:val="false"/>
          <w:i w:val="false"/>
          <w:color w:val="000000"/>
          <w:sz w:val="22"/>
        </w:rPr>
        <w:t>The repeat election shall be held at the earliest possible time, but it shall not be held earlier than 14 days after the date the election was set aside. Voter registration, publication, equipment testing and other applicable deadlines shall be calculated from the date of the repeat election.</w:t>
      </w:r>
    </w:p>
    <w:p>
      <w:pPr>
        <w:spacing w:before="0" w:after="0"/>
        <w:ind w:left="120"/>
        <w:jc w:val="both"/>
      </w:pPr>
      <w:r>
        <w:rPr>
          <w:rFonts w:ascii="Times New Roman" w:hAnsi="Times New Roman"/>
          <w:b w:val="false"/>
          <w:i w:val="false"/>
          <w:color w:val="000000"/>
          <w:sz w:val="22"/>
        </w:rPr>
        <w:t>The repeat election shall be conducted under the same procedures required for the election that was set aside, except that all known errors in preparation and procedure shall be corrected. The nominations from the initial election shall be used in the repeat election unless the contest court specifically rejects the initial nomination process in its findings. Precinct election officials for the repeat election may be replaced at the discretion of the auditor.</w:t>
      </w:r>
    </w:p>
    <w:p>
      <w:pPr>
        <w:spacing w:before="0" w:after="0"/>
        <w:ind w:left="120"/>
        <w:jc w:val="both"/>
      </w:pPr>
      <w:r>
        <w:rPr>
          <w:rFonts w:ascii="Times New Roman" w:hAnsi="Times New Roman"/>
          <w:b w:val="false"/>
          <w:i w:val="false"/>
          <w:color w:val="000000"/>
          <w:sz w:val="22"/>
        </w:rPr>
        <w:t>The following materials prepared for the original election shall be used or reconstructed for the repeat election:</w:t>
      </w:r>
    </w:p>
    <w:p>
      <w:pPr>
        <w:spacing w:before="0" w:after="0"/>
        <w:ind w:left="120"/>
        <w:jc w:val="both"/>
      </w:pPr>
      <w:r>
        <w:rPr>
          <w:rFonts w:ascii="Times New Roman" w:hAnsi="Times New Roman"/>
          <w:b w:val="false"/>
          <w:i w:val="false"/>
          <w:color w:val="000000"/>
          <w:sz w:val="22"/>
        </w:rPr>
        <w:t>Ballots (showing the date of repeat election). This may be stamped on ballots printed for the original election.</w:t>
      </w:r>
    </w:p>
    <w:p>
      <w:pPr>
        <w:spacing w:before="0" w:after="0"/>
        <w:ind w:left="120"/>
        <w:jc w:val="both"/>
      </w:pPr>
      <w:r>
        <w:rPr>
          <w:rFonts w:ascii="Times New Roman" w:hAnsi="Times New Roman"/>
          <w:b w:val="false"/>
          <w:i w:val="false"/>
          <w:color w:val="000000"/>
          <w:sz w:val="22"/>
        </w:rPr>
        <w:t>Notice of election (showing the date of repeat election).</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17">
        <w:r>
          <w:rPr>
            <w:rStyle w:val="Hyperlink"/>
            <w:rFonts w:ascii="Times New Roman" w:hAnsi="Times New Roman"/>
            <w:b w:val="false"/>
            <w:i w:val="false"/>
            <w:color w:val="000000"/>
            <w:sz w:val="22"/>
          </w:rPr>
          <w:t>47.1</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 xml:space="preserve">; </w:t>
      </w:r>
      <w:r>
        <w:rPr>
          <w:rFonts w:ascii="Times New Roman" w:hAnsi="Times New Roman"/>
          <w:b/>
          <w:i w:val="false"/>
          <w:color w:val="000000"/>
          <w:sz w:val="16"/>
        </w:rPr>
        <w:t>ARC 9989B</w:t>
      </w:r>
      <w:r>
        <w:rPr>
          <w:rFonts w:ascii="Times New Roman" w:hAnsi="Times New Roman"/>
          <w:b w:val="false"/>
          <w:i w:val="false"/>
          <w:color w:val="000000"/>
          <w:sz w:val="16"/>
        </w:rPr>
        <w:t>, IAB 2/8/12, effective 1/17/12</w:t>
      </w:r>
      <w:r>
        <w:rPr>
          <w:rFonts w:ascii="Times New Roman" w:hAnsi="Times New Roman"/>
          <w:b w:val="false"/>
          <w:i w:val="false"/>
          <w:color w:val="000000"/>
          <w:sz w:val="16"/>
        </w:rPr>
        <w:t xml:space="preserve">; </w:t>
      </w:r>
      <w:r>
        <w:rPr>
          <w:rFonts w:ascii="Times New Roman" w:hAnsi="Times New Roman"/>
          <w:b/>
          <w:i w:val="false"/>
          <w:color w:val="000000"/>
          <w:sz w:val="16"/>
        </w:rPr>
        <w:t>ARC 2663C</w:t>
      </w:r>
      <w:r>
        <w:rPr>
          <w:rFonts w:ascii="Times New Roman" w:hAnsi="Times New Roman"/>
          <w:b w:val="false"/>
          <w:i w:val="false"/>
          <w:color w:val="000000"/>
          <w:sz w:val="16"/>
        </w:rPr>
        <w:t>, IAB 8/3/16, effective 8/1/16</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7.1.pdf" Type="http://schemas.openxmlformats.org/officeDocument/2006/relationships/hyperlink" Id="rId4"/>
    <Relationship TargetMode="External" Target="https://www.legis.iowa.gov/docs/ico/chapter/58.4.pdf" Type="http://schemas.openxmlformats.org/officeDocument/2006/relationships/hyperlink" Id="rId5"/>
    <Relationship TargetMode="External" Target="https://www.legis.iowa.gov/docs/ico/chapter/61.1.pdf" Type="http://schemas.openxmlformats.org/officeDocument/2006/relationships/hyperlink" Id="rId6"/>
    <Relationship TargetMode="External" Target="https://www.legis.iowa.gov/docs/ico/chapter/62.1.pdf" Type="http://schemas.openxmlformats.org/officeDocument/2006/relationships/hyperlink" Id="rId7"/>
    <Relationship TargetMode="External" Target="https://www.legis.iowa.gov/docs/ico/chapter/376.10.pdf" Type="http://schemas.openxmlformats.org/officeDocument/2006/relationships/hyperlink" Id="rId8"/>
    <Relationship TargetMode="External" Target="https://www.legis.iowa.gov/docs/ico/chapter/53.22.pdf" Type="http://schemas.openxmlformats.org/officeDocument/2006/relationships/hyperlink" Id="rId9"/>
    <Relationship TargetMode="External" Target="https://www.legis.iowa.gov/docs/ico/chapter/50.22.pdf" Type="http://schemas.openxmlformats.org/officeDocument/2006/relationships/hyperlink" Id="rId10"/>
    <Relationship TargetMode="External" Target="https://www.legis.iowa.gov/docs/ico/chapter/52.23.pdf" Type="http://schemas.openxmlformats.org/officeDocument/2006/relationships/hyperlink" Id="rId11"/>
    <Relationship TargetMode="External" Target="https://www.legis.iowa.gov/docs/ico/chapter/69.14.pdf" Type="http://schemas.openxmlformats.org/officeDocument/2006/relationships/hyperlink" Id="rId12"/>
    <Relationship TargetMode="External" Target="https://www.legis.iowa.gov/docs/ico/chapter/49.73.pdf" Type="http://schemas.openxmlformats.org/officeDocument/2006/relationships/hyperlink" Id="rId13"/>
    <Relationship TargetMode="External" Target="https://www.legis.iowa.gov/docs/ico/chapter/49.81.pdf" Type="http://schemas.openxmlformats.org/officeDocument/2006/relationships/hyperlink" Id="rId14"/>
    <Relationship TargetMode="External" Target="https://www.legis.iowa.gov/docs/ico/chapter/53.pdf" Type="http://schemas.openxmlformats.org/officeDocument/2006/relationships/hyperlink" Id="rId15"/>
    <Relationship TargetMode="External" Target="https://www.legis.iowa.gov/docs/iac/rule/721.21.320.pdf" Type="http://schemas.openxmlformats.org/officeDocument/2006/relationships/hyperlink" Id="rId16"/>
    <Relationship TargetMode="External" Target="https://www.legis.iowa.gov/docs/ico/chapter/47.1.pdf" Type="http://schemas.openxmlformats.org/officeDocument/2006/relationships/hyperlink"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