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701—8.6</w:t>
      </w:r>
      <w:r>
        <w:rPr>
          <w:rFonts w:ascii="Times New Roman" w:hAnsi="Times New Roman"/>
          <w:b/>
          <w:i w:val="false"/>
          <w:color w:val="000000"/>
          <w:sz w:val="22"/>
        </w:rPr>
        <w:t xml:space="preserve">(421) </w:t>
      </w:r>
      <w:r>
        <w:rPr>
          <w:rFonts w:ascii="Times New Roman" w:hAnsi="Times New Roman"/>
          <w:b/>
          <w:i w:val="false"/>
          <w:color w:val="000000"/>
          <w:sz w:val="22"/>
        </w:rPr>
        <w:t xml:space="preserve">Electing to receive communications in electronic format in lieu of paper. </w:t>
      </w:r>
      <w:r>
        <w:rPr>
          <w:rFonts w:ascii="Times New Roman" w:hAnsi="Times New Roman"/>
          <w:b w:val="false"/>
          <w:i w:val="false"/>
          <w:color w:val="000000"/>
          <w:sz w:val="22"/>
        </w:rPr>
        <w:t xml:space="preserve">A taxpayer that is a registered account holder in GovConnectIowa may elect to receive notices, correspondence, or other communication electronically through GovConnectIowa in lieu of receiving them by mail.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w:t>
      </w:r>
      <w:r>
        <w:rPr>
          <w:rFonts w:ascii="Times New Roman" w:hAnsi="Times New Roman"/>
          <w:b w:val="false"/>
          <w:i w:val="false"/>
          <w:color w:val="000000"/>
          <w:sz w:val="22"/>
        </w:rPr>
        <w:t> </w:t>
      </w:r>
      <w:r>
        <w:rPr>
          <w:rFonts w:ascii="Times New Roman" w:hAnsi="Times New Roman"/>
          <w:b w:val="false"/>
          <w:i/>
          <w:color w:val="000000"/>
          <w:sz w:val="22"/>
        </w:rPr>
        <w:t xml:space="preserve">How to make the election. </w:t>
      </w:r>
      <w:r>
        <w:rPr>
          <w:rFonts w:ascii="Times New Roman" w:hAnsi="Times New Roman"/>
          <w:b w:val="false"/>
          <w:i w:val="false"/>
          <w:color w:val="000000"/>
          <w:sz w:val="22"/>
        </w:rPr>
        <w:t xml:space="preserve">The election must be made by selecting the appropriate setting on GovConnectIowa.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election only exists for persons registered in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specified elsewhere in rule, this option is limited to notices, correspondence, or other communications on tax types managed in GovConnectIowa.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department finds it beneficial to continue to send items by regular mail, the department may continue to send regular mail even if an electronic copy is also provided and even if the person elects to receive electronic mail.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w:t>
      </w:r>
      <w:r>
        <w:rPr>
          <w:rFonts w:ascii="Times New Roman" w:hAnsi="Times New Roman"/>
          <w:b w:val="false"/>
          <w:i w:val="false"/>
          <w:color w:val="000000"/>
          <w:sz w:val="22"/>
        </w:rPr>
        <w:t> </w:t>
      </w:r>
      <w:r>
        <w:rPr>
          <w:rFonts w:ascii="Times New Roman" w:hAnsi="Times New Roman"/>
          <w:b w:val="false"/>
          <w:i/>
          <w:color w:val="000000"/>
          <w:sz w:val="22"/>
        </w:rPr>
        <w:t xml:space="preserve">When service occurs. </w:t>
      </w:r>
      <w:r>
        <w:rPr>
          <w:rFonts w:ascii="Times New Roman" w:hAnsi="Times New Roman"/>
          <w:b w:val="false"/>
          <w:i w:val="false"/>
          <w:color w:val="000000"/>
          <w:sz w:val="22"/>
        </w:rPr>
        <w:t>If the department sends a notice, correspondence, or other communication by both mail and electronic communication, service occurs upon the earlier of when the communication is posted to GovConnectIowa or mailed.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8.6(4)</w:t>
      </w:r>
      <w:r>
        <w:rPr>
          <w:rFonts w:ascii="Times New Roman" w:hAnsi="Times New Roman"/>
          <w:b w:val="false"/>
          <w:i w:val="false"/>
          <w:color w:val="000000"/>
          <w:sz w:val="22"/>
        </w:rPr>
        <w:t> </w:t>
      </w:r>
      <w:r>
        <w:rPr>
          <w:rFonts w:ascii="Times New Roman" w:hAnsi="Times New Roman"/>
          <w:b w:val="false"/>
          <w:i/>
          <w:color w:val="000000"/>
          <w:sz w:val="22"/>
        </w:rPr>
        <w:t xml:space="preserve">Taxpayer authorized representatives. </w:t>
      </w:r>
      <w:r>
        <w:rPr>
          <w:rFonts w:ascii="Times New Roman" w:hAnsi="Times New Roman"/>
          <w:b w:val="false"/>
          <w:i w:val="false"/>
          <w:color w:val="000000"/>
          <w:sz w:val="22"/>
        </w:rPr>
        <w:t xml:space="preserve">Authorized representatives as described in rule </w:t>
      </w:r>
      <w:hyperlink r:id="rId4">
        <w:r>
          <w:rPr>
            <w:rStyle w:val="Hyperlink"/>
            <w:rFonts w:ascii="Times New Roman" w:hAnsi="Times New Roman"/>
            <w:b w:val="false"/>
            <w:i w:val="false"/>
            <w:color w:val="000000"/>
            <w:sz w:val="22"/>
          </w:rPr>
          <w:t>701—7.6</w:t>
        </w:r>
      </w:hyperlink>
      <w:r>
        <w:rPr>
          <w:rFonts w:ascii="Times New Roman" w:hAnsi="Times New Roman"/>
          <w:b w:val="false"/>
          <w:i w:val="false"/>
          <w:color w:val="000000"/>
          <w:sz w:val="22"/>
        </w:rPr>
        <w:t>(17A,22,421,422) cannot opt out of paper mail for the taxpayers they represent. For each account an authorized representative represents, the authorized representative will receive paper copies of notices, correspondence, or other communication sent to the represented taxpayer. If the authorized representative creates a login and requests and is granted account access for the represented taxpayer, the authorized representative will be able to view electronic versions of the notices, correspondence, or other communication the represented taxpayer receives, but the authorized representative will still receive paper copies of those notices, correspondence, or other communication.</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421.60(11)</w:t>
        </w:r>
      </w:hyperlink>
      <w:r>
        <w:rPr>
          <w:rFonts w:ascii="Times New Roman" w:hAnsi="Times New Roman"/>
          <w:b w:val="false"/>
          <w:i w:val="false"/>
          <w:color w:val="000000"/>
          <w:sz w:val="22"/>
        </w:rPr>
        <w:t xml:space="preserve">.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6550C</w:t>
      </w:r>
      <w:r>
        <w:rPr>
          <w:rFonts w:ascii="Times New Roman" w:hAnsi="Times New Roman"/>
          <w:b w:val="false"/>
          <w:i w:val="false"/>
          <w:color w:val="000000"/>
          <w:sz w:val="16"/>
        </w:rPr>
        <w:t>, IAB 10/5/22, effective 11/14/22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7.6.pdf" Type="http://schemas.openxmlformats.org/officeDocument/2006/relationships/hyperlink" Id="rId4"/>
    <Relationship TargetMode="External" Target="https://www.legis.iowa.gov/docs/ico/chapter/421.60.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