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701—8.4</w:t>
      </w:r>
      <w:r>
        <w:rPr>
          <w:rFonts w:ascii="Times New Roman" w:hAnsi="Times New Roman"/>
          <w:b/>
          <w:i w:val="false"/>
          <w:color w:val="000000"/>
          <w:sz w:val="22"/>
        </w:rPr>
        <w:t xml:space="preserve">(17A) </w:t>
      </w:r>
      <w:r>
        <w:rPr>
          <w:rFonts w:ascii="Times New Roman" w:hAnsi="Times New Roman"/>
          <w:b/>
          <w:i w:val="false"/>
          <w:color w:val="000000"/>
          <w:sz w:val="22"/>
        </w:rPr>
        <w:t xml:space="preserve">Description of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Tax forms. </w:t>
      </w:r>
      <w:r>
        <w:rPr>
          <w:rFonts w:ascii="Times New Roman" w:hAnsi="Times New Roman"/>
          <w:b w:val="false"/>
          <w:i w:val="false"/>
          <w:color w:val="000000"/>
          <w:sz w:val="22"/>
        </w:rPr>
        <w:t>Taxes administered by the department that require forms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Corporate income return systems use forms designed by the department as well as forms used in federal tax administration. Approved substitute forms may be used for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Corporate income tax field and office audit systems, related field collections systems, and the corporate tax error resolution system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Franchise tax returns use forms designed by the department as well as forms used in federal tax administration. Approved substitute forms may be used for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Franchise audit and collection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Corporate and franchise estimated tax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 and fiduciary income returns use forms designed by the department as well as forms used in federal tax administration. Approved substitute forms may be used for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 and fiduciary income tax field and office audit systems and related field collections systems use forms designed by the department. Approved substitutes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New jobs tax credit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Individual income tax withholding payment voucher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IA-W4, declaration of estimated tax, and withholding penalty waiver systems use forms designed by the department. Approved substitutes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Sales and use tax payment vouchers and annual returns use forms designed by the department. Approved substitute forms may be used in limited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Local option sales and services tax and hotel/motel tax systems use forms designed by the department. Approved substitute forms may be used in limited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Field and office audit and collections systems for sales and use tax; sales tax refund examination systems; industrial machinery, equipment, and computer refund systems; and sales and use tax penalty waiver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Motor fuel tax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Special fuel tax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Motor fuel tax and special fuel tax error resolution systems and related field and office audit and collection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Inheritance and qualified use inheritance tax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Inheritance and qualified use inheritance tax field and office audit systems and related field collections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Cigarette and tobacco tax systems with related office and field audit and field collection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Property assessor and deputy assessor examination records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Centrally assessed property tax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Mobile, manufactured, and modular home reduced tax rate systems; Iowa elderly and disabled property tax credit and rent reimbursement systems; and special assessment credit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Environmental protection charge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Excise tax on unlawful dealing in certain substances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Taxpayer contact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Federal and state exchange of information systems use forms designed by the department as well as others.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Accounts receivable notices systems use forms designed by the department. Developers may not provide a substitute accounts receivable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The department provides a taxpayer bill of rights, which sets forth the rights of a taxpayer and obligations of the department during an audit, procedures by which a taxpayer may appeal an adverse decision of the department, and procedures which the department uses to enforce the tax laws. Developers may not provide a substitute taxpayer bill of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17A.3(1)</w:t>
        </w:r>
        <w:r>
          <w:rPr>
            <w:rFonts w:ascii="Times New Roman" w:hAnsi="Times New Roman"/>
            <w:b w:val="false"/>
            <w:i/>
            <w:color w:val="000000"/>
            <w:sz w:val="22"/>
          </w:rPr>
          <w:t>“b,”</w:t>
        </w:r>
      </w:hyperlink>
      <w:r>
        <w:rPr>
          <w:rFonts w:ascii="Times New Roman" w:hAnsi="Times New Roman"/>
          <w:b w:val="false"/>
          <w:i w:val="false"/>
          <w:color w:val="000000"/>
          <w:sz w:val="22"/>
        </w:rPr>
        <w:t> </w:t>
      </w:r>
      <w:hyperlink r:id="rId5">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9875B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2915C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421.7.pdf" Type="http://schemas.openxmlformats.org/officeDocument/2006/relationships/hyperlink" Id="rId5"/>
    <Relationship TargetMode="External" Target="https://www.legis.iowa.gov/docs/ico/chapter/422.2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