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701—8.3</w:t>
      </w:r>
      <w:r>
        <w:rPr>
          <w:rFonts w:ascii="Times New Roman" w:hAnsi="Times New Roman"/>
          <w:b/>
          <w:i w:val="false"/>
          <w:color w:val="000000"/>
          <w:sz w:val="22"/>
        </w:rPr>
        <w:t xml:space="preserve">(17A,421) </w:t>
      </w:r>
      <w:r>
        <w:rPr>
          <w:rFonts w:ascii="Times New Roman" w:hAnsi="Times New Roman"/>
          <w:b/>
          <w:i w:val="false"/>
          <w:color w:val="000000"/>
          <w:sz w:val="22"/>
        </w:rPr>
        <w:t xml:space="preserve">Substitute forms.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8.3(1)</w:t>
      </w:r>
      <w:r>
        <w:rPr>
          <w:rFonts w:ascii="Times New Roman" w:hAnsi="Times New Roman"/>
          <w:b w:val="false"/>
          <w:i w:val="false"/>
          <w:color w:val="000000"/>
          <w:sz w:val="22"/>
        </w:rPr>
        <w:t> </w:t>
      </w:r>
      <w:r>
        <w:rPr>
          <w:rFonts w:ascii="Times New Roman" w:hAnsi="Times New Roman"/>
          <w:b w:val="false"/>
          <w:i/>
          <w:color w:val="000000"/>
          <w:sz w:val="22"/>
        </w:rPr>
        <w:t>Generally.</w:t>
      </w:r>
      <w:r>
        <w:rPr>
          <w:rFonts w:ascii="Times New Roman" w:hAnsi="Times New Roman"/>
          <w:b w:val="false"/>
          <w:i/>
          <w:color w:val="000000"/>
          <w:sz w:val="22"/>
        </w:rPr>
        <w:t xml:space="preserve"> </w:t>
      </w:r>
      <w:r>
        <w:rPr>
          <w:rFonts w:ascii="Times New Roman" w:hAnsi="Times New Roman"/>
          <w:b w:val="false"/>
          <w:i w:val="false"/>
          <w:color w:val="000000"/>
          <w:sz w:val="22"/>
        </w:rPr>
        <w:t>A substitute form may be in electronic format, on paper, or created using other media for communication. Approval shall be obtained prior to the use of any substitute form, unless otherwise noted in this rule. The director may change any department form without providing notice to users of any substitute form. The director may require use of department forms in communications with the department concerning tax administration or other matters.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8.3(2)</w:t>
      </w:r>
      <w:r>
        <w:rPr>
          <w:rFonts w:ascii="Times New Roman" w:hAnsi="Times New Roman"/>
          <w:b w:val="false"/>
          <w:i w:val="false"/>
          <w:color w:val="000000"/>
          <w:sz w:val="22"/>
        </w:rPr>
        <w:t> </w:t>
      </w:r>
      <w:r>
        <w:rPr>
          <w:rFonts w:ascii="Times New Roman" w:hAnsi="Times New Roman"/>
          <w:b w:val="false"/>
          <w:i/>
          <w:color w:val="000000"/>
          <w:sz w:val="22"/>
        </w:rPr>
        <w:t xml:space="preserve">Types of substitute forms. </w:t>
      </w:r>
      <w:r>
        <w:rPr>
          <w:rFonts w:ascii="Times New Roman" w:hAnsi="Times New Roman"/>
          <w:b w:val="false"/>
          <w:i w:val="false"/>
          <w:color w:val="000000"/>
          <w:sz w:val="22"/>
        </w:rPr>
        <w:t>Many types of forms may, upon approval when necessary, be substituted for department forms. Descriptions of a partial list follow.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Reproduced forms. </w:t>
      </w:r>
      <w:r>
        <w:rPr>
          <w:rFonts w:ascii="Times New Roman" w:hAnsi="Times New Roman"/>
          <w:b w:val="false"/>
          <w:i w:val="false"/>
          <w:color w:val="000000"/>
          <w:sz w:val="22"/>
        </w:rPr>
        <w:t>A reproduced form is a legible photocopy or an exact copy of a department form. A reproduced form may be used without prior approval of the department if the reproduced form meets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reproduced form does not vary from the department form in size or any other format specification.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No rule prohibits the reproduction of the department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reproduced form does not vary from criteria stated elsewhere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Replacement forms. </w:t>
      </w:r>
      <w:r>
        <w:rPr>
          <w:rFonts w:ascii="Times New Roman" w:hAnsi="Times New Roman"/>
          <w:b w:val="false"/>
          <w:i w:val="false"/>
          <w:color w:val="000000"/>
          <w:sz w:val="22"/>
        </w:rPr>
        <w:t>A replacement form is produced by imagery or otherwise replicated using the department form as a model, but it is not an exact copy of a department form. A form that is created in its entirety, including layout, by computer is a replacement form. A replacement form may include modifications, such as line enlargement or copy deletion. A replacement form must receive department approval prior to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Federal forms. </w:t>
      </w:r>
      <w:r>
        <w:rPr>
          <w:rFonts w:ascii="Times New Roman" w:hAnsi="Times New Roman"/>
          <w:b w:val="false"/>
          <w:i w:val="false"/>
          <w:color w:val="000000"/>
          <w:sz w:val="22"/>
        </w:rPr>
        <w:t>A federal form is a form that is distributed by the IRS. A federal form, or its alternate, may be used without department approval if the form is approved for federal use and Iowa tax instructions or other administrative instructions authorize or require the use of the federal form in lieu of a department form.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8.3(3)</w:t>
      </w:r>
      <w:r>
        <w:rPr>
          <w:rFonts w:ascii="Times New Roman" w:hAnsi="Times New Roman"/>
          <w:b w:val="false"/>
          <w:i w:val="false"/>
          <w:color w:val="000000"/>
          <w:sz w:val="22"/>
        </w:rPr>
        <w:t> </w:t>
      </w:r>
      <w:r>
        <w:rPr>
          <w:rFonts w:ascii="Times New Roman" w:hAnsi="Times New Roman"/>
          <w:b w:val="false"/>
          <w:i/>
          <w:color w:val="000000"/>
          <w:sz w:val="22"/>
        </w:rPr>
        <w:t xml:space="preserve">Registration and approval of substitute forms.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Registration. </w:t>
      </w:r>
      <w:r>
        <w:rPr>
          <w:rFonts w:ascii="Times New Roman" w:hAnsi="Times New Roman"/>
          <w:b w:val="false"/>
          <w:i w:val="false"/>
          <w:color w:val="000000"/>
          <w:sz w:val="22"/>
        </w:rPr>
        <w:t>A developer of a substitute form must register with the department by submitting the Registration for Substitute Forms and Barcode Approval. Each registration is valid for one tax year only. Failure to register with the department may, at the discretion of the director, result in the rejection of the developer’s forms and all information contained therein.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Approval. </w:t>
      </w:r>
      <w:r>
        <w:rPr>
          <w:rFonts w:ascii="Times New Roman" w:hAnsi="Times New Roman"/>
          <w:b w:val="false"/>
          <w:i w:val="false"/>
          <w:color w:val="000000"/>
          <w:sz w:val="22"/>
        </w:rPr>
        <w:t xml:space="preserve">Once registered, the developer of a substitute form must request department approval of the form, unless approval is not necessary. The developer may request department approval by submitting a PDF of the form to </w:t>
      </w:r>
      <w:hyperlink r:id="rId4">
        <w:r>
          <w:rPr>
            <w:rStyle w:val="Hyperlink"/>
            <w:rFonts w:ascii="Times New Roman" w:hAnsi="Times New Roman"/>
            <w:b w:val="false"/>
            <w:i w:val="false"/>
            <w:color w:val="000000"/>
            <w:sz w:val="22"/>
            <w:u w:val="single"/>
          </w:rPr>
          <w:t>IDRSubForms@iowa.gov</w:t>
        </w:r>
      </w:hyperlink>
      <w:r>
        <w:rPr>
          <w:rFonts w:ascii="Times New Roman" w:hAnsi="Times New Roman"/>
          <w:b w:val="false"/>
          <w:i w:val="false"/>
          <w:color w:val="000000"/>
          <w:sz w:val="22"/>
        </w:rPr>
        <w:t>. Those forms listed on the Iowa Substitute Forms Checklist, which is provided with the Registration for Substitute Forms and Barcode Approval, should be submitted for approval. If doubt exists about the need for approval of a particular substitute form, the form should be submitted for consideration. Attempting to file an unapproved substitute form with the department may, at the discretion of the director, result in the rejection of the form and all information contained therein.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8.3(4)</w:t>
      </w:r>
      <w:r>
        <w:rPr>
          <w:rFonts w:ascii="Times New Roman" w:hAnsi="Times New Roman"/>
          <w:b w:val="false"/>
          <w:i w:val="false"/>
          <w:color w:val="000000"/>
          <w:sz w:val="22"/>
        </w:rPr>
        <w:t> </w:t>
      </w:r>
      <w:r>
        <w:rPr>
          <w:rFonts w:ascii="Times New Roman" w:hAnsi="Times New Roman"/>
          <w:b w:val="false"/>
          <w:i/>
          <w:color w:val="000000"/>
          <w:sz w:val="22"/>
        </w:rPr>
        <w:t xml:space="preserve">Forms that may not be reproduced.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ARC 2915C</w:t>
      </w:r>
      <w:r>
        <w:rPr>
          <w:rFonts w:ascii="Times New Roman" w:hAnsi="Times New Roman"/>
          <w:b w:val="false"/>
          <w:i w:val="false"/>
          <w:color w:val="000000"/>
          <w:sz w:val="22"/>
        </w:rPr>
        <w:t xml:space="preserve">, </w:t>
      </w:r>
      <w:r>
        <w:rPr>
          <w:rFonts w:ascii="Times New Roman" w:hAnsi="Times New Roman"/>
          <w:b w:val="false"/>
          <w:i w:val="false"/>
          <w:color w:val="000000"/>
          <w:sz w:val="22"/>
        </w:rPr>
        <w:t>IAB 1/18/17</w:t>
      </w:r>
      <w:r>
        <w:rPr>
          <w:rFonts w:ascii="Times New Roman" w:hAnsi="Times New Roman"/>
          <w:b w:val="false"/>
          <w:i w:val="false"/>
          <w:color w:val="000000"/>
          <w:sz w:val="22"/>
        </w:rPr>
        <w:t>, effective 2/22/17.</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8.3(5)</w:t>
      </w:r>
      <w:r>
        <w:rPr>
          <w:rFonts w:ascii="Times New Roman" w:hAnsi="Times New Roman"/>
          <w:b w:val="false"/>
          <w:i w:val="false"/>
          <w:color w:val="000000"/>
          <w:sz w:val="22"/>
        </w:rPr>
        <w:t> </w:t>
      </w:r>
      <w:r>
        <w:rPr>
          <w:rFonts w:ascii="Times New Roman" w:hAnsi="Times New Roman"/>
          <w:b w:val="false"/>
          <w:i/>
          <w:color w:val="000000"/>
          <w:sz w:val="22"/>
        </w:rPr>
        <w:t xml:space="preserve">Quality of substitute forms.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General information. </w:t>
      </w:r>
      <w:r>
        <w:rPr>
          <w:rFonts w:ascii="Times New Roman" w:hAnsi="Times New Roman"/>
          <w:b w:val="false"/>
          <w:i w:val="false"/>
          <w:color w:val="000000"/>
          <w:sz w:val="22"/>
        </w:rPr>
        <w:t xml:space="preserve">All substitute forms must, to the extent practicable, reflect the same size, color, content, design, and legibility as department forms posted on the department’s website at </w:t>
      </w:r>
      <w:hyperlink r:id="rId5">
        <w:r>
          <w:rPr>
            <w:rStyle w:val="Hyperlink"/>
            <w:rFonts w:ascii="Times New Roman" w:hAnsi="Times New Roman"/>
            <w:b w:val="false"/>
            <w:i w:val="false"/>
            <w:color w:val="000000"/>
            <w:sz w:val="22"/>
            <w:u w:val="single"/>
          </w:rPr>
          <w:t>tax.iowa.gov</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Printed substitute forms. </w:t>
      </w:r>
      <w:r>
        <w:rPr>
          <w:rFonts w:ascii="Times New Roman" w:hAnsi="Times New Roman"/>
          <w:b w:val="false"/>
          <w:i w:val="false"/>
          <w:color w:val="000000"/>
          <w:sz w:val="22"/>
        </w:rPr>
        <w:t>When printed on paper, a substitute form must use only black ink or black imaging material, unless the corresponding department form indicates otherwise. A printed substitute form generally must be printed on 20-pound white paper stock with a brightness rating of at least 92 on the TAPPI scale.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Distinctive markings and symbols. </w:t>
      </w:r>
      <w:r>
        <w:rPr>
          <w:rFonts w:ascii="Times New Roman" w:hAnsi="Times New Roman"/>
          <w:b w:val="false"/>
          <w:i w:val="false"/>
          <w:color w:val="000000"/>
          <w:sz w:val="22"/>
        </w:rPr>
        <w:t>A department form may contain distinctive symbols. These symbols must be reproduced on any substitute forms.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8.3(6)</w:t>
      </w:r>
      <w:r>
        <w:rPr>
          <w:rFonts w:ascii="Times New Roman" w:hAnsi="Times New Roman"/>
          <w:b w:val="false"/>
          <w:i w:val="false"/>
          <w:color w:val="000000"/>
          <w:sz w:val="22"/>
        </w:rPr>
        <w:t> </w:t>
      </w:r>
      <w:r>
        <w:rPr>
          <w:rFonts w:ascii="Times New Roman" w:hAnsi="Times New Roman"/>
          <w:b w:val="false"/>
          <w:i/>
          <w:color w:val="000000"/>
          <w:sz w:val="22"/>
        </w:rPr>
        <w:t xml:space="preserve">Filing substitute forms. </w:t>
      </w:r>
      <w:r>
        <w:rPr>
          <w:rFonts w:ascii="Times New Roman" w:hAnsi="Times New Roman"/>
          <w:b w:val="false"/>
          <w:i w:val="false"/>
          <w:color w:val="000000"/>
          <w:sz w:val="22"/>
        </w:rPr>
        <w:t>A substitute form may be filed with the department as directed on the corresponding department form or instructions or by any other method approved by the department. Attempting to file a substitute form with the department using an unapproved method may, at the discretion of the director, result in the rejection of the form and all information contained therein.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8.3(7)</w:t>
      </w:r>
      <w:r>
        <w:rPr>
          <w:rFonts w:ascii="Times New Roman" w:hAnsi="Times New Roman"/>
          <w:b w:val="false"/>
          <w:i w:val="false"/>
          <w:color w:val="000000"/>
          <w:sz w:val="22"/>
        </w:rPr>
        <w:t> </w:t>
      </w:r>
      <w:r>
        <w:rPr>
          <w:rFonts w:ascii="Times New Roman" w:hAnsi="Times New Roman"/>
          <w:b w:val="false"/>
          <w:i/>
          <w:color w:val="000000"/>
          <w:sz w:val="22"/>
        </w:rPr>
        <w:t xml:space="preserve">Removable media and electronic reporting. </w:t>
      </w:r>
      <w:r>
        <w:rPr>
          <w:rFonts w:ascii="Times New Roman" w:hAnsi="Times New Roman"/>
          <w:b w:val="false"/>
          <w:i w:val="false"/>
          <w:color w:val="000000"/>
          <w:sz w:val="22"/>
        </w:rPr>
        <w:t xml:space="preserve">Submitting a substitute form on removable media, such as compact disc, requires prior approval from the department. No prior approval is necessary for electronic reporting when the reporting is in accordance with department policy. Any electronic reporting of a substitute form requires department approval, unless otherwise authorized. Additional information regarding electronic reporting is available at Processing Services, P.O. Box 10413, Des Moines, Iowa 50306; or by email at </w:t>
      </w:r>
      <w:hyperlink r:id="rId6">
        <w:r>
          <w:rPr>
            <w:rStyle w:val="Hyperlink"/>
            <w:rFonts w:ascii="Times New Roman" w:hAnsi="Times New Roman"/>
            <w:b w:val="false"/>
            <w:i w:val="false"/>
            <w:color w:val="000000"/>
            <w:sz w:val="22"/>
            <w:u w:val="single"/>
          </w:rPr>
          <w:t>IDRSubForms@iowa.gov</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val="false"/>
          <w:color w:val="000000"/>
          <w:sz w:val="22"/>
        </w:rPr>
        <w:t xml:space="preserve">This rule is intended to implement Iowa Code sections </w:t>
      </w:r>
      <w:hyperlink r:id="rId7">
        <w:r>
          <w:rPr>
            <w:rStyle w:val="Hyperlink"/>
            <w:rFonts w:ascii="Times New Roman" w:hAnsi="Times New Roman"/>
            <w:b w:val="false"/>
            <w:i w:val="false"/>
            <w:color w:val="000000"/>
            <w:sz w:val="22"/>
          </w:rPr>
          <w:t>17A.3(1)</w:t>
        </w:r>
      </w:hyperlink>
      <w:r>
        <w:rPr>
          <w:rFonts w:ascii="Times New Roman" w:hAnsi="Times New Roman"/>
          <w:b w:val="false"/>
          <w:i/>
          <w:color w:val="000000"/>
          <w:sz w:val="22"/>
        </w:rPr>
        <w:t>“b”</w:t>
      </w:r>
      <w:r>
        <w:rPr>
          <w:rFonts w:ascii="Times New Roman" w:hAnsi="Times New Roman"/>
          <w:b w:val="false"/>
          <w:i w:val="false"/>
          <w:color w:val="000000"/>
          <w:sz w:val="22"/>
        </w:rPr>
        <w:t xml:space="preserve"> and </w:t>
      </w:r>
      <w:hyperlink r:id="rId8">
        <w:r>
          <w:rPr>
            <w:rStyle w:val="Hyperlink"/>
            <w:rFonts w:ascii="Times New Roman" w:hAnsi="Times New Roman"/>
            <w:b w:val="false"/>
            <w:i w:val="false"/>
            <w:color w:val="000000"/>
            <w:sz w:val="22"/>
          </w:rPr>
          <w:t>421.14</w:t>
        </w:r>
      </w:hyperlink>
      <w:r>
        <w:rPr>
          <w:rFonts w:ascii="Times New Roman" w:hAnsi="Times New Roman"/>
          <w:b w:val="false"/>
          <w:i w:val="false"/>
          <w:color w:val="000000"/>
          <w:sz w:val="22"/>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9875B</w:t>
      </w:r>
      <w:r>
        <w:rPr>
          <w:rFonts w:ascii="Times New Roman" w:hAnsi="Times New Roman"/>
          <w:b w:val="false"/>
          <w:i w:val="false"/>
          <w:color w:val="000000"/>
          <w:sz w:val="16"/>
        </w:rPr>
        <w:t>, IAB 11/30/11, effective 1/4/12</w:t>
      </w:r>
      <w:r>
        <w:rPr>
          <w:rFonts w:ascii="Times New Roman" w:hAnsi="Times New Roman"/>
          <w:b w:val="false"/>
          <w:i w:val="false"/>
          <w:color w:val="000000"/>
          <w:sz w:val="16"/>
        </w:rPr>
        <w:t xml:space="preserve">; </w:t>
      </w:r>
      <w:r>
        <w:rPr>
          <w:rFonts w:ascii="Times New Roman" w:hAnsi="Times New Roman"/>
          <w:b/>
          <w:i w:val="false"/>
          <w:color w:val="000000"/>
          <w:sz w:val="16"/>
        </w:rPr>
        <w:t>ARC 0398C</w:t>
      </w:r>
      <w:r>
        <w:rPr>
          <w:rFonts w:ascii="Times New Roman" w:hAnsi="Times New Roman"/>
          <w:b w:val="false"/>
          <w:i w:val="false"/>
          <w:color w:val="000000"/>
          <w:sz w:val="16"/>
        </w:rPr>
        <w:t>, IAB 10/17/12, effective 11/21/12</w:t>
      </w:r>
      <w:r>
        <w:rPr>
          <w:rFonts w:ascii="Times New Roman" w:hAnsi="Times New Roman"/>
          <w:b w:val="false"/>
          <w:i w:val="false"/>
          <w:color w:val="000000"/>
          <w:sz w:val="16"/>
        </w:rPr>
        <w:t xml:space="preserve">; </w:t>
      </w:r>
      <w:r>
        <w:rPr>
          <w:rFonts w:ascii="Times New Roman" w:hAnsi="Times New Roman"/>
          <w:b/>
          <w:i w:val="false"/>
          <w:color w:val="000000"/>
          <w:sz w:val="16"/>
        </w:rPr>
        <w:t>ARC 2915C</w:t>
      </w:r>
      <w:r>
        <w:rPr>
          <w:rFonts w:ascii="Times New Roman" w:hAnsi="Times New Roman"/>
          <w:b w:val="false"/>
          <w:i w:val="false"/>
          <w:color w:val="000000"/>
          <w:sz w:val="16"/>
        </w:rPr>
        <w:t>, IAB 1/18/17, effective 2/22/17</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IDRSubForms@iowa.gov" Type="http://schemas.openxmlformats.org/officeDocument/2006/relationships/hyperlink" Id="rId4"/>
    <Relationship TargetMode="External" Target="http://tax.iowa.gov" Type="http://schemas.openxmlformats.org/officeDocument/2006/relationships/hyperlink" Id="rId5"/>
    <Relationship TargetMode="External" Target="mailto:IDRSubForms@iowa.gov" Type="http://schemas.openxmlformats.org/officeDocument/2006/relationships/hyperlink" Id="rId6"/>
    <Relationship TargetMode="External" Target="https://www.legis.iowa.gov/docs/ico/chapter/17A.3.pdf" Type="http://schemas.openxmlformats.org/officeDocument/2006/relationships/hyperlink" Id="rId7"/>
    <Relationship TargetMode="External" Target="https://www.legis.iowa.gov/docs/ico/chapter/421.14.pdf" Type="http://schemas.openxmlformats.org/officeDocument/2006/relationships/hyperlink"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