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701—8.1</w:t>
      </w:r>
      <w:r>
        <w:rPr>
          <w:rFonts w:ascii="Times New Roman" w:hAnsi="Times New Roman"/>
          <w:b/>
          <w:i w:val="false"/>
          <w:color w:val="000000"/>
          <w:sz w:val="22"/>
        </w:rPr>
        <w:t xml:space="preserve">(17A,421)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 unless the context otherwise requires: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r>
        <w:rPr>
          <w:rFonts w:ascii="Times New Roman" w:hAnsi="Times New Roman"/>
          <w:b w:val="false"/>
          <w:i w:val="false"/>
          <w:color w:val="000000"/>
          <w:sz w:val="22"/>
        </w:rPr>
        <w:t>means any method of transfer of data, information, or money by any conduit or mechanism.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“Department form” </w:t>
      </w:r>
      <w:r>
        <w:rPr>
          <w:rFonts w:ascii="Times New Roman" w:hAnsi="Times New Roman"/>
          <w:b w:val="false"/>
          <w:i w:val="false"/>
          <w:color w:val="000000"/>
          <w:sz w:val="22"/>
        </w:rPr>
        <w:t>means a form that is distributed by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means any overall physical arrangement and general layout of communications, using any method of communication, related to tax or other administration and prescribed by the director or otherwise required by law.</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“IRS” </w:t>
      </w:r>
      <w:r>
        <w:rPr>
          <w:rFonts w:ascii="Times New Roman" w:hAnsi="Times New Roman"/>
          <w:b w:val="false"/>
          <w:i w:val="false"/>
          <w:color w:val="000000"/>
          <w:sz w:val="22"/>
        </w:rPr>
        <w:t>means the federal Internal Revenue Service.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corporation, limited liability company, government or governmental subdivision or agency, business trust, estate, trust, partnership or association, or any other legal entity.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“Return” </w:t>
      </w:r>
      <w:r>
        <w:rPr>
          <w:rFonts w:ascii="Times New Roman" w:hAnsi="Times New Roman"/>
          <w:b w:val="false"/>
          <w:i w:val="false"/>
          <w:color w:val="000000"/>
          <w:sz w:val="22"/>
        </w:rPr>
        <w:t>means any form required for tax administration from any person to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“Substitute form” </w:t>
      </w:r>
      <w:r>
        <w:rPr>
          <w:rFonts w:ascii="Times New Roman" w:hAnsi="Times New Roman"/>
          <w:b w:val="false"/>
          <w:i w:val="false"/>
          <w:color w:val="000000"/>
          <w:sz w:val="22"/>
        </w:rPr>
        <w:t>means a form that is intended to replace a department form.</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2915C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Mode="External" Target="https://www.legis.iowa.gov/docs/ico/chapter/421.1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