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701—7.39</w:t>
      </w:r>
      <w:r>
        <w:rPr>
          <w:rFonts w:ascii="Times New Roman" w:hAnsi="Times New Roman"/>
          <w:b/>
          <w:i w:val="false"/>
          <w:color w:val="000000"/>
          <w:sz w:val="22"/>
        </w:rPr>
        <w:t xml:space="preserve">(17A) </w:t>
      </w:r>
      <w:r>
        <w:rPr>
          <w:rFonts w:ascii="Times New Roman" w:hAnsi="Times New Roman"/>
          <w:b/>
          <w:i w:val="false"/>
          <w:color w:val="000000"/>
          <w:sz w:val="22"/>
        </w:rPr>
        <w:t xml:space="preserve">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7.39(1)</w:t>
      </w:r>
      <w:r>
        <w:rPr>
          <w:rFonts w:ascii="Times New Roman" w:hAnsi="Times New Roman"/>
          <w:b w:val="false"/>
          <w:i w:val="false"/>
          <w:color w:val="000000"/>
          <w:sz w:val="22"/>
        </w:rPr>
        <w:t> </w:t>
      </w:r>
      <w:r>
        <w:rPr>
          <w:rFonts w:ascii="Times New Roman" w:hAnsi="Times New Roman"/>
          <w:b w:val="false"/>
          <w:i/>
          <w:color w:val="000000"/>
          <w:sz w:val="22"/>
        </w:rPr>
        <w:t xml:space="preserve">Denial of license; refusal to renew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department is required by constitution or statute to provide notice and an opportunity for an evidentiary hearing prior to the refusal or denial of a license, a notice, as prescribed in rule </w:t>
      </w:r>
      <w:hyperlink r:id="rId4">
        <w:r>
          <w:rPr>
            <w:rStyle w:val="Hyperlink"/>
            <w:rFonts w:ascii="Times New Roman" w:hAnsi="Times New Roman"/>
            <w:b w:val="false"/>
            <w:i w:val="false"/>
            <w:color w:val="000000"/>
            <w:sz w:val="22"/>
          </w:rPr>
          <w:t>701—7.16</w:t>
        </w:r>
      </w:hyperlink>
      <w:r>
        <w:rPr>
          <w:rFonts w:ascii="Times New Roman" w:hAnsi="Times New Roman"/>
          <w:b w:val="false"/>
          <w:i w:val="false"/>
          <w:color w:val="000000"/>
          <w:sz w:val="22"/>
        </w:rPr>
        <w:t xml:space="preserve">(17A), shall be served by the department upon the licensee or applicant. Prior to the refusal or denial of a license, the department shall give 30 days’ written notice to the applicant or licensee in which to appear at a hearing to show cause why a license should not be refused or denied. In addition to the requirements of rule </w:t>
      </w:r>
      <w:hyperlink r:id="rId5">
        <w:r>
          <w:rPr>
            <w:rStyle w:val="Hyperlink"/>
            <w:rFonts w:ascii="Times New Roman" w:hAnsi="Times New Roman"/>
            <w:b w:val="false"/>
            <w:i w:val="false"/>
            <w:color w:val="000000"/>
            <w:sz w:val="22"/>
          </w:rPr>
          <w:t>701—7.16</w:t>
        </w:r>
      </w:hyperlink>
      <w:r>
        <w:rPr>
          <w:rFonts w:ascii="Times New Roman" w:hAnsi="Times New Roman"/>
          <w:b w:val="false"/>
          <w:i w:val="false"/>
          <w:color w:val="000000"/>
          <w:sz w:val="22"/>
        </w:rPr>
        <w:t xml:space="preserve">(17A), the notice shall contain a statement of facts or conduct and the provisions of law which warrant the denial of the license or the refusal to renew a license. If the licensee so desires, the licensee may file a petition as provided in subrule </w:t>
      </w:r>
      <w:hyperlink r:id="rId6">
        <w:r>
          <w:rPr>
            <w:rStyle w:val="Hyperlink"/>
            <w:rFonts w:ascii="Times New Roman" w:hAnsi="Times New Roman"/>
            <w:b w:val="false"/>
            <w:i w:val="false"/>
            <w:color w:val="000000"/>
            <w:sz w:val="22"/>
          </w:rPr>
          <w:t>7.39(3)</w:t>
        </w:r>
      </w:hyperlink>
      <w:r>
        <w:rPr>
          <w:rFonts w:ascii="Times New Roman" w:hAnsi="Times New Roman"/>
          <w:b w:val="false"/>
          <w:i w:val="false"/>
          <w:color w:val="000000"/>
          <w:sz w:val="22"/>
        </w:rPr>
        <w:t xml:space="preserve"> with the presiding officer within 30 days prior to the hearing. The department may, in its discretion, file an answer to a petition filed by the licensee prior to the hearing. Thereafter, rule </w:t>
      </w:r>
      <w:hyperlink r:id="rId7">
        <w:r>
          <w:rPr>
            <w:rStyle w:val="Hyperlink"/>
            <w:rFonts w:ascii="Times New Roman" w:hAnsi="Times New Roman"/>
            <w:b w:val="false"/>
            <w:i w:val="false"/>
            <w:color w:val="000000"/>
            <w:sz w:val="22"/>
          </w:rPr>
          <w:t>701—7.19</w:t>
        </w:r>
      </w:hyperlink>
      <w:r>
        <w:rPr>
          <w:rFonts w:ascii="Times New Roman" w:hAnsi="Times New Roman"/>
          <w:b w:val="false"/>
          <w:i w:val="false"/>
          <w:color w:val="000000"/>
          <w:sz w:val="22"/>
        </w:rPr>
        <w:t>(17A) governing contested case proceedings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licensee has made timely and sufficient application for the renewal of a license or a new license with reference to any activity of a continuing nature, the existing license does not expire until the application has been finally determined by the department, and in case the application is denied or the terms of the new license limited, until the last date for seeking judicial review of the department’s order or a later date fixed by order of the department or the reviewing court. See rule </w:t>
      </w:r>
      <w:hyperlink r:id="rId8">
        <w:r>
          <w:rPr>
            <w:rStyle w:val="Hyperlink"/>
            <w:rFonts w:ascii="Times New Roman" w:hAnsi="Times New Roman"/>
            <w:b w:val="false"/>
            <w:i w:val="false"/>
            <w:color w:val="000000"/>
            <w:sz w:val="22"/>
          </w:rPr>
          <w:t>481—100.3</w:t>
        </w:r>
      </w:hyperlink>
      <w:r>
        <w:rPr>
          <w:rFonts w:ascii="Times New Roman" w:hAnsi="Times New Roman"/>
          <w:b w:val="false"/>
          <w:i w:val="false"/>
          <w:color w:val="000000"/>
          <w:sz w:val="22"/>
        </w:rPr>
        <w:t>(99B) regarding gambling license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7.39(2)</w:t>
      </w:r>
      <w:r>
        <w:rPr>
          <w:rFonts w:ascii="Times New Roman" w:hAnsi="Times New Roman"/>
          <w:b w:val="false"/>
          <w:i w:val="false"/>
          <w:color w:val="000000"/>
          <w:sz w:val="22"/>
        </w:rPr>
        <w:t> </w:t>
      </w:r>
      <w:r>
        <w:rPr>
          <w:rFonts w:ascii="Times New Roman" w:hAnsi="Times New Roman"/>
          <w:b w:val="false"/>
          <w:i/>
          <w:color w:val="000000"/>
          <w:sz w:val="22"/>
        </w:rPr>
        <w:t xml:space="preserve">Revocation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not revoke, suspend, annul or withdraw any license until written notice is served by personal service or restricted certified mail pursuant to rule </w:t>
      </w:r>
      <w:hyperlink r:id="rId9">
        <w:r>
          <w:rPr>
            <w:rStyle w:val="Hyperlink"/>
            <w:rFonts w:ascii="Times New Roman" w:hAnsi="Times New Roman"/>
            <w:b w:val="false"/>
            <w:i w:val="false"/>
            <w:color w:val="000000"/>
            <w:sz w:val="22"/>
          </w:rPr>
          <w:t>701—7.16</w:t>
        </w:r>
      </w:hyperlink>
      <w:r>
        <w:rPr>
          <w:rFonts w:ascii="Times New Roman" w:hAnsi="Times New Roman"/>
          <w:b w:val="false"/>
          <w:i w:val="false"/>
          <w:color w:val="000000"/>
          <w:sz w:val="22"/>
        </w:rPr>
        <w:t xml:space="preserve">(17A) within the time prescribed by the applicable statute and the licensee whose license is to be revoked, suspended, annulled, or withdrawn, is given an opportunity to show at an evidentiary hearing conducted pursuant to rule </w:t>
      </w:r>
      <w:hyperlink r:id="rId10">
        <w:r>
          <w:rPr>
            <w:rStyle w:val="Hyperlink"/>
            <w:rFonts w:ascii="Times New Roman" w:hAnsi="Times New Roman"/>
            <w:b w:val="false"/>
            <w:i w:val="false"/>
            <w:color w:val="000000"/>
            <w:sz w:val="22"/>
          </w:rPr>
          <w:t>701—7.19</w:t>
        </w:r>
      </w:hyperlink>
      <w:r>
        <w:rPr>
          <w:rFonts w:ascii="Times New Roman" w:hAnsi="Times New Roman"/>
          <w:b w:val="false"/>
          <w:i w:val="false"/>
          <w:color w:val="000000"/>
          <w:sz w:val="22"/>
        </w:rPr>
        <w:t xml:space="preserve">(17A) compliance with all lawful requirements for the retention of the license. However, in the case of the revocation, suspension, annulment, or withdrawal of a sales or use tax permit, written notice will be served pursuant to rule </w:t>
      </w:r>
      <w:hyperlink r:id="rId11">
        <w:r>
          <w:rPr>
            <w:rStyle w:val="Hyperlink"/>
            <w:rFonts w:ascii="Times New Roman" w:hAnsi="Times New Roman"/>
            <w:b w:val="false"/>
            <w:i w:val="false"/>
            <w:color w:val="000000"/>
            <w:sz w:val="22"/>
          </w:rPr>
          <w:t>701—7.16</w:t>
        </w:r>
      </w:hyperlink>
      <w:r>
        <w:rPr>
          <w:rFonts w:ascii="Times New Roman" w:hAnsi="Times New Roman"/>
          <w:b w:val="false"/>
          <w:i w:val="false"/>
          <w:color w:val="000000"/>
          <w:sz w:val="22"/>
        </w:rPr>
        <w:t xml:space="preserve">(17A) only if the permit holder requests that this be done following notification, by ordinary mail, of the director’s intent to revoke, suspend, annul, or withdraw the permit. In addition to the requirements of rule </w:t>
      </w:r>
      <w:hyperlink r:id="rId12">
        <w:r>
          <w:rPr>
            <w:rStyle w:val="Hyperlink"/>
            <w:rFonts w:ascii="Times New Roman" w:hAnsi="Times New Roman"/>
            <w:b w:val="false"/>
            <w:i w:val="false"/>
            <w:color w:val="000000"/>
            <w:sz w:val="22"/>
          </w:rPr>
          <w:t>701—7.16</w:t>
        </w:r>
      </w:hyperlink>
      <w:r>
        <w:rPr>
          <w:rFonts w:ascii="Times New Roman" w:hAnsi="Times New Roman"/>
          <w:b w:val="false"/>
          <w:i w:val="false"/>
          <w:color w:val="000000"/>
          <w:sz w:val="22"/>
        </w:rPr>
        <w:t xml:space="preserve">(17A), the notice shall contain a statement of facts or conduct and the provisions of law which warrant the revocation, suspension, annulment, or withdrawal of the license. A licensee whose license may be revoked, suspended, annulled, or withdrawn, may file a petition as provided in subrule </w:t>
      </w:r>
      <w:hyperlink r:id="rId13">
        <w:r>
          <w:rPr>
            <w:rStyle w:val="Hyperlink"/>
            <w:rFonts w:ascii="Times New Roman" w:hAnsi="Times New Roman"/>
            <w:b w:val="false"/>
            <w:i w:val="false"/>
            <w:color w:val="000000"/>
            <w:sz w:val="22"/>
          </w:rPr>
          <w:t>7.39(3)</w:t>
        </w:r>
      </w:hyperlink>
      <w:r>
        <w:rPr>
          <w:rFonts w:ascii="Times New Roman" w:hAnsi="Times New Roman"/>
          <w:b w:val="false"/>
          <w:i w:val="false"/>
          <w:color w:val="000000"/>
          <w:sz w:val="22"/>
        </w:rPr>
        <w:t xml:space="preserve"> with the clerk prior to the hearing. The department may, in its discretion, file an answer to a petition filed by the licensee prior to the hearing. Thereafter, rule </w:t>
      </w:r>
      <w:hyperlink r:id="rId14">
        <w:r>
          <w:rPr>
            <w:rStyle w:val="Hyperlink"/>
            <w:rFonts w:ascii="Times New Roman" w:hAnsi="Times New Roman"/>
            <w:b w:val="false"/>
            <w:i w:val="false"/>
            <w:color w:val="000000"/>
            <w:sz w:val="22"/>
          </w:rPr>
          <w:t>701—7.19</w:t>
        </w:r>
      </w:hyperlink>
      <w:r>
        <w:rPr>
          <w:rFonts w:ascii="Times New Roman" w:hAnsi="Times New Roman"/>
          <w:b w:val="false"/>
          <w:i w:val="false"/>
          <w:color w:val="000000"/>
          <w:sz w:val="22"/>
        </w:rPr>
        <w:t>(17A) governing contested case proceedings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hyperlink r:id="rId15">
        <w:r>
          <w:rPr>
            <w:rStyle w:val="Hyperlink"/>
            <w:rFonts w:ascii="Times New Roman" w:hAnsi="Times New Roman"/>
            <w:b w:val="false"/>
            <w:i w:val="false"/>
            <w:color w:val="000000"/>
            <w:sz w:val="22"/>
          </w:rPr>
          <w:t>7.39(2)</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department finds that public health, safety, or welfare imperatively requires emergency action and the department incorporates a finding to that effect in an order to the licensee, summary suspension of a license shall be ordered pending proceedings for revocation as provided herein. These proceedings shall be promptly instituted and determined. When a summary suspension as provided herein is ordered, a notice of the time, place and nature of the evidentiary hearing shall be attached to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7.39(3)</w:t>
      </w:r>
      <w:r>
        <w:rPr>
          <w:rFonts w:ascii="Times New Roman" w:hAnsi="Times New Roman"/>
          <w:b w:val="false"/>
          <w:i w:val="false"/>
          <w:color w:val="000000"/>
          <w:sz w:val="22"/>
        </w:rPr>
        <w:t> </w:t>
      </w:r>
      <w:r>
        <w:rPr>
          <w:rFonts w:ascii="Times New Roman" w:hAnsi="Times New Roman"/>
          <w:b w:val="false"/>
          <w:i/>
          <w:color w:val="000000"/>
          <w:sz w:val="22"/>
        </w:rPr>
        <w:t xml:space="preserve">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person desires to file a petition as provided in subrules </w:t>
      </w:r>
      <w:hyperlink r:id="rId16">
        <w:r>
          <w:rPr>
            <w:rStyle w:val="Hyperlink"/>
            <w:rFonts w:ascii="Times New Roman" w:hAnsi="Times New Roman"/>
            <w:b w:val="false"/>
            <w:i w:val="false"/>
            <w:color w:val="000000"/>
            <w:sz w:val="22"/>
          </w:rPr>
          <w:t>7.39(1)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7.39(2)</w:t>
        </w:r>
      </w:hyperlink>
      <w:r>
        <w:rPr>
          <w:rFonts w:ascii="Times New Roman" w:hAnsi="Times New Roman"/>
          <w:b w:val="false"/>
          <w:i w:val="false"/>
          <w:color w:val="000000"/>
          <w:sz w:val="22"/>
        </w:rPr>
        <w:t>, the petition to be filed shall contain a caption in the following form:</w:t>
      </w:r>
    </w:p>
    <w:p>
      <w:pPr>
        <w:spacing w:before="60" w:after="0"/>
        <w:ind w:left="120"/>
        <w:jc w:val="center"/>
      </w:pPr>
      <w:r>
        <w:rPr>
          <w:rFonts w:ascii="Times New Roman" w:hAnsi="Times New Roman"/>
          <w:b w:val="false"/>
          <w:i w:val="false"/>
          <w:color w:val="000000"/>
          <w:sz w:val="22"/>
        </w:rPr>
        <w:t>BEFORE THE DEPARTMENT OF REVENUE</w:t>
      </w:r>
    </w:p>
    <w:p>
      <w:pPr>
        <w:spacing w:before="60" w:after="0"/>
        <w:ind w:left="120"/>
        <w:jc w:val="center"/>
      </w:pPr>
      <w:r>
        <w:rPr>
          <w:rFonts w:ascii="Times New Roman" w:hAnsi="Times New Roman"/>
          <w:b w:val="false"/>
          <w:i w:val="false"/>
          <w:color w:val="000000"/>
          <w:sz w:val="22"/>
        </w:rPr>
        <w:t>HOOVER STATE OFFICE BUILDING</w:t>
      </w:r>
    </w:p>
    <w:p>
      <w:pPr>
        <w:spacing w:before="60" w:after="0"/>
        <w:ind w:left="120"/>
        <w:jc w:val="center"/>
      </w:pPr>
      <w:r>
        <w:rPr>
          <w:rFonts w:ascii="Times New Roman" w:hAnsi="Times New Roman"/>
          <w:b w:val="false"/>
          <w:i w:val="false"/>
          <w:color w:val="000000"/>
          <w:sz w:val="22"/>
        </w:rPr>
        <w:t>DES MOINES, IOWA</w:t>
      </w: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5906"/>
        <w:gridCol w:w="914"/>
        <w:gridCol w:w="4370"/>
      </w:tblGrid>
      <w:tr>
        <w:trPr>
          <w:trHeight w:val="225" w:hRule="atLeast"/>
        </w:trPr>
        <w:tc>
          <w:tcPr>
            <w:tcW w:w="59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43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10" w:hRule="atLeast"/>
        </w:trPr>
        <w:tc>
          <w:tcPr>
            <w:tcW w:w="59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 THE MATTER OF _____________________</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43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PETITION</w:t>
            </w:r>
          </w:p>
        </w:tc>
      </w:tr>
      <w:tr>
        <w:trPr>
          <w:trHeight w:val="210" w:hRule="atLeast"/>
        </w:trPr>
        <w:tc>
          <w:tcPr>
            <w:tcW w:w="59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(state taxpayer’s name and address, and type of license)</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43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Docket No. _______</w:t>
            </w:r>
          </w:p>
        </w:tc>
      </w:tr>
      <w:tr>
        <w:trPr>
          <w:trHeight w:val="210" w:hRule="atLeast"/>
        </w:trPr>
        <w:tc>
          <w:tcPr>
            <w:tcW w:w="59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43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(filled in by Department)</w:t>
            </w:r>
          </w:p>
        </w:tc>
      </w:tr>
      <w:tr>
        <w:trPr>
          <w:trHeight w:val="225" w:hRule="atLeast"/>
        </w:trPr>
        <w:tc>
          <w:tcPr>
            <w:tcW w:w="590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43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petition shall substantially state in separate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full name and address of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Reference to the type of license and the relevant statutory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Clear, concise and complete statements of all relevant facts showing why petitioner’s license should not be revoked, refused, or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a similar license has previously been issued to or held by petitioner or revoked and if revoked the reasons therefor;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petitioner or petitioner’s representative, the address of petitioner and of the petitioner’s representative, and the telephone number of petitioner or petitioner’s representative.</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7.16.pdf" Type="http://schemas.openxmlformats.org/officeDocument/2006/relationships/hyperlink" Id="rId4"/>
    <Relationship TargetMode="External" Target="https://www.legis.iowa.gov/docs/iac/rule/701.7.16.pdf" Type="http://schemas.openxmlformats.org/officeDocument/2006/relationships/hyperlink" Id="rId5"/>
    <Relationship TargetMode="External" Target="https://www.legis.iowa.gov/docs/iac/rule/701.7.39.pdf" Type="http://schemas.openxmlformats.org/officeDocument/2006/relationships/hyperlink" Id="rId6"/>
    <Relationship TargetMode="External" Target="https://www.legis.iowa.gov/docs/iac/rule/701.7.19.pdf" Type="http://schemas.openxmlformats.org/officeDocument/2006/relationships/hyperlink" Id="rId7"/>
    <Relationship TargetMode="External" Target="https://www.legis.iowa.gov/docs/iac/rule/481.100.3.pdf" Type="http://schemas.openxmlformats.org/officeDocument/2006/relationships/hyperlink" Id="rId8"/>
    <Relationship TargetMode="External" Target="https://www.legis.iowa.gov/docs/iac/rule/701.7.16.pdf" Type="http://schemas.openxmlformats.org/officeDocument/2006/relationships/hyperlink" Id="rId9"/>
    <Relationship TargetMode="External" Target="https://www.legis.iowa.gov/docs/iac/rule/701.7.19.pdf" Type="http://schemas.openxmlformats.org/officeDocument/2006/relationships/hyperlink" Id="rId10"/>
    <Relationship TargetMode="External" Target="https://www.legis.iowa.gov/docs/iac/rule/701.7.16.pdf" Type="http://schemas.openxmlformats.org/officeDocument/2006/relationships/hyperlink" Id="rId11"/>
    <Relationship TargetMode="External" Target="https://www.legis.iowa.gov/docs/iac/rule/701.7.16.pdf" Type="http://schemas.openxmlformats.org/officeDocument/2006/relationships/hyperlink" Id="rId12"/>
    <Relationship TargetMode="External" Target="https://www.legis.iowa.gov/docs/iac/rule/701.7.39.pdf" Type="http://schemas.openxmlformats.org/officeDocument/2006/relationships/hyperlink" Id="rId13"/>
    <Relationship TargetMode="External" Target="https://www.legis.iowa.gov/docs/iac/rule/701.7.19.pdf" Type="http://schemas.openxmlformats.org/officeDocument/2006/relationships/hyperlink" Id="rId14"/>
    <Relationship TargetMode="External" Target="https://www.legis.iowa.gov/docs/iac/rule/701.7.39.pdf" Type="http://schemas.openxmlformats.org/officeDocument/2006/relationships/hyperlink" Id="rId15"/>
    <Relationship TargetMode="External" Target="https://www.legis.iowa.gov/docs/iac/rule/701.7.39.pdf" Type="http://schemas.openxmlformats.org/officeDocument/2006/relationships/hyperlink" Id="rId16"/>
    <Relationship TargetMode="External" Target="https://www.legis.iowa.gov/docs/iac/rule/701.7.39.pdf" Type="http://schemas.openxmlformats.org/officeDocument/2006/relationships/hyperlink" Id="rId17"/>
    <Relationship TargetMode="External" Target="https://www.legis.iowa.gov/docs/ico/chapter/17A.18.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