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701—7.36</w:t>
      </w:r>
      <w:r>
        <w:rPr>
          <w:rFonts w:ascii="Times New Roman" w:hAnsi="Times New Roman"/>
          <w:b/>
          <w:i w:val="false"/>
          <w:color w:val="000000"/>
          <w:sz w:val="22"/>
        </w:rPr>
        <w:t xml:space="preserve">(421) </w:t>
      </w:r>
      <w:r>
        <w:rPr>
          <w:rFonts w:ascii="Times New Roman" w:hAnsi="Times New Roman"/>
          <w:b/>
          <w:i w:val="false"/>
          <w:color w:val="000000"/>
          <w:sz w:val="22"/>
        </w:rPr>
        <w:t xml:space="preserve">Tax return preparers.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and for Iowa Code sections </w:t>
      </w:r>
      <w:hyperlink r:id="rId4">
        <w:r>
          <w:rPr>
            <w:rStyle w:val="Hyperlink"/>
            <w:rFonts w:ascii="Times New Roman" w:hAnsi="Times New Roman"/>
            <w:b w:val="false"/>
            <w:i w:val="false"/>
            <w:color w:val="000000"/>
            <w:sz w:val="22"/>
          </w:rPr>
          <w:t>421.62</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421.63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 enrolled agent enrolled to practice before the federal Internal Revenue Service (IRS) pursuant to 31 CFR §10.4” </w:t>
      </w:r>
      <w:r>
        <w:rPr>
          <w:rFonts w:ascii="Times New Roman" w:hAnsi="Times New Roman"/>
          <w:b w:val="false"/>
          <w:i w:val="false"/>
          <w:color w:val="000000"/>
          <w:sz w:val="22"/>
        </w:rPr>
        <w:t>means an individual who has an active status as an enrolled agent under 31 CFR §10.4(a) or (d) and is not currently under suspension or disbarment from practice before the IRS. An enrolled agent does not include an enrolled retirement plan agent under 31 CFR §10.4(b) or a registered tax return preparer under 31 CFR §10.4(c).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 individual admitted to practice law in this state or another state” </w:t>
      </w:r>
      <w:r>
        <w:rPr>
          <w:rFonts w:ascii="Times New Roman" w:hAnsi="Times New Roman"/>
          <w:b w:val="false"/>
          <w:i w:val="false"/>
          <w:color w:val="000000"/>
          <w:sz w:val="22"/>
        </w:rPr>
        <w:t xml:space="preserve">means an individual who has an active license to practice law in this state or another state, is considered in good standing with the licensing authority of this or another state, and is currently authorized to engage in the practice of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 individual licensed as a certified public accountant or a licensed public accountant under Iowa Code chapter </w:t>
      </w:r>
      <w:hyperlink r:id="rId7">
        <w:r>
          <w:rPr>
            <w:rStyle w:val="Hyperlink"/>
            <w:rFonts w:ascii="Times New Roman" w:hAnsi="Times New Roman"/>
            <w:b w:val="false"/>
            <w:i/>
            <w:color w:val="000000"/>
            <w:sz w:val="22"/>
          </w:rPr>
          <w:t>542</w:t>
        </w:r>
      </w:hyperlink>
      <w:r>
        <w:rPr>
          <w:rFonts w:ascii="Times New Roman" w:hAnsi="Times New Roman"/>
          <w:b w:val="false"/>
          <w:i/>
          <w:color w:val="000000"/>
          <w:sz w:val="22"/>
        </w:rPr>
        <w:t xml:space="preserve"> or a similar law of another state” </w:t>
      </w:r>
      <w:r>
        <w:rPr>
          <w:rFonts w:ascii="Times New Roman" w:hAnsi="Times New Roman"/>
          <w:b w:val="false"/>
          <w:i w:val="false"/>
          <w:color w:val="000000"/>
          <w:sz w:val="22"/>
        </w:rPr>
        <w:t xml:space="preserve">means an individual who has an active certified public accountant license or an active public accountant license under Iowa Code chapter </w:t>
      </w:r>
      <w:hyperlink r:id="rId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a similar law of another state and is in good standing with the Iowa accountancy examining board or similar authority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 minimum of 50 minutes spent by a tax return preparer in actual attendance at or completion of an IRS-approved provider of continuing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tax return or claim for refund” </w:t>
      </w:r>
      <w:r>
        <w:rPr>
          <w:rFonts w:ascii="Times New Roman" w:hAnsi="Times New Roman"/>
          <w:b w:val="false"/>
          <w:i w:val="false"/>
          <w:color w:val="000000"/>
          <w:sz w:val="22"/>
        </w:rPr>
        <w:t xml:space="preserve">means any return or claim for refund under Iowa Code chapter </w:t>
      </w:r>
      <w:hyperlink r:id="rId9">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excluding withholding returns under Iowa Code section </w:t>
      </w:r>
      <w:hyperlink r:id="rId10">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tax preparer” </w:t>
      </w:r>
      <w:r>
        <w:rPr>
          <w:rFonts w:ascii="Times New Roman" w:hAnsi="Times New Roman"/>
          <w:b w:val="false"/>
          <w:i w:val="false"/>
          <w:color w:val="000000"/>
          <w:sz w:val="22"/>
        </w:rPr>
        <w:t xml:space="preserve">means an individual who qualifies as a “tax return preparer” under Iowa Code section </w:t>
      </w:r>
      <w:hyperlink r:id="rId11">
        <w:r>
          <w:rPr>
            <w:rStyle w:val="Hyperlink"/>
            <w:rFonts w:ascii="Times New Roman" w:hAnsi="Times New Roman"/>
            <w:b w:val="false"/>
            <w:i w:val="false"/>
            <w:color w:val="000000"/>
            <w:sz w:val="22"/>
          </w:rPr>
          <w:t>421.62</w:t>
        </w:r>
      </w:hyperlink>
      <w:r>
        <w:rPr>
          <w:rFonts w:ascii="Times New Roman" w:hAnsi="Times New Roman"/>
          <w:b w:val="false"/>
          <w:i w:val="false"/>
          <w:color w:val="000000"/>
          <w:sz w:val="22"/>
        </w:rPr>
        <w:t xml:space="preserve"> for the current tax year but would not have qualified as such during any prior calendar year. See </w:t>
      </w:r>
      <w:hyperlink r:id="rId12">
        <w:r>
          <w:rPr>
            <w:rStyle w:val="Hyperlink"/>
            <w:rFonts w:ascii="Times New Roman" w:hAnsi="Times New Roman"/>
            <w:b w:val="false"/>
            <w:i w:val="false"/>
            <w:color w:val="000000"/>
            <w:sz w:val="22"/>
          </w:rPr>
          <w:t>paragraph 7.36(8)</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examples regarding who qualifies as a new tax preparer.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return preparer” </w:t>
      </w:r>
      <w:r>
        <w:rPr>
          <w:rFonts w:ascii="Times New Roman" w:hAnsi="Times New Roman"/>
          <w:b w:val="false"/>
          <w:i w:val="false"/>
          <w:color w:val="000000"/>
          <w:sz w:val="22"/>
        </w:rPr>
        <w:t>means any individual who, for a fee or other consideration, prepares ten or more income tax returns or claims for refund during a calendar year, or who assumes final responsibility for completed work on such income tax returns or claims for refund on which preliminary work has been done by another individual.</w:t>
      </w:r>
    </w:p>
    <w:p>
      <w:pPr>
        <w:spacing w:before="0" w:after="0"/>
        <w:ind w:left="120"/>
        <w:jc w:val="both"/>
      </w:pPr>
      <w:r>
        <w:rPr>
          <w:rFonts w:ascii="Times New Roman" w:hAnsi="Times New Roman"/>
          <w:b w:val="false"/>
          <w:i w:val="false"/>
          <w:color w:val="000000"/>
          <w:sz w:val="22"/>
        </w:rPr>
        <w:t>“Tax return preparer”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individual licensed as a certified public accountant or a licensed public accountant under Iowa Code chapter </w:t>
      </w:r>
      <w:hyperlink r:id="rId1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a similar law of another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individual admitted to practice law in this state or another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enrolled agent enrolled to practice before the federal IRS pursuant to 31 CFR §10.4.</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fiduciary of an estate, trust, or individual, while functioning within the fiduciary’s legal duty and authority with respect to that individual or that estate or trust or its testator, trustor, grantor, or beneficiaries.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individual who prepares the tax returns of the individual’s employer, while functioning within the individual’s scope of employment with the employer.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individual employed by a local, state, or federal government agency, while functioning within the individual’s scope of employment with the government agency.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 employee of a tax return preparer, if the employee provides only clerical or other comparable services and does not sign tax returns.</w:t>
      </w:r>
    </w:p>
    <w:p>
      <w:pPr>
        <w:spacing w:before="0" w:after="0"/>
        <w:ind w:left="120"/>
        <w:jc w:val="both"/>
      </w:pPr>
      <w:r>
        <w:rPr>
          <w:rFonts w:ascii="Times New Roman" w:hAnsi="Times New Roman"/>
          <w:b w:val="false"/>
          <w:i w:val="false"/>
          <w:color w:val="000000"/>
          <w:sz w:val="22"/>
        </w:rPr>
        <w:t xml:space="preserve">See </w:t>
      </w:r>
      <w:hyperlink r:id="rId14">
        <w:r>
          <w:rPr>
            <w:rStyle w:val="Hyperlink"/>
            <w:rFonts w:ascii="Times New Roman" w:hAnsi="Times New Roman"/>
            <w:b w:val="false"/>
            <w:i w:val="false"/>
            <w:color w:val="000000"/>
            <w:sz w:val="22"/>
          </w:rPr>
          <w:t>paragraph 7.36(8)</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examples regarding who qualifies as a tax return preparer.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7.36(2)</w:t>
      </w:r>
      <w:r>
        <w:rPr>
          <w:rFonts w:ascii="Times New Roman" w:hAnsi="Times New Roman"/>
          <w:b w:val="false"/>
          <w:i w:val="false"/>
          <w:color w:val="000000"/>
          <w:sz w:val="22"/>
        </w:rPr>
        <w:t> </w:t>
      </w:r>
      <w:r>
        <w:rPr>
          <w:rFonts w:ascii="Times New Roman" w:hAnsi="Times New Roman"/>
          <w:b w:val="false"/>
          <w:i/>
          <w:color w:val="000000"/>
          <w:sz w:val="22"/>
        </w:rPr>
        <w:t xml:space="preserve">Penalty for tax return preparer’s failure to include preparer tax identification number (PTIN) on income tax returns or claims for refund. </w:t>
      </w:r>
      <w:r>
        <w:rPr>
          <w:rFonts w:ascii="Times New Roman" w:hAnsi="Times New Roman"/>
          <w:b w:val="false"/>
          <w:i w:val="false"/>
          <w:color w:val="000000"/>
          <w:sz w:val="22"/>
        </w:rPr>
        <w:t xml:space="preserve">On or after January 1, 2020, a tax return preparer who fails to include the tax return preparer’s PTIN on any income tax return or claim for refund prepared by the tax return preparer and filed with the department shall pay to the department a penalty of $50 for each violation, unless the tax return preparer shows that the failure was reasonable under the circumstances and not willful or reckless conduct. The maximum aggregate penalty imposed upon a tax return preparer pursuant to Iowa Code section </w:t>
      </w:r>
      <w:hyperlink r:id="rId15">
        <w:r>
          <w:rPr>
            <w:rStyle w:val="Hyperlink"/>
            <w:rFonts w:ascii="Times New Roman" w:hAnsi="Times New Roman"/>
            <w:b w:val="false"/>
            <w:i w:val="false"/>
            <w:color w:val="000000"/>
            <w:sz w:val="22"/>
          </w:rPr>
          <w:t>421.62</w:t>
        </w:r>
      </w:hyperlink>
      <w:r>
        <w:rPr>
          <w:rFonts w:ascii="Times New Roman" w:hAnsi="Times New Roman"/>
          <w:b w:val="false"/>
          <w:i w:val="false"/>
          <w:color w:val="000000"/>
          <w:sz w:val="22"/>
        </w:rPr>
        <w:t xml:space="preserve"> and this rule shall not exceed $25,000 during any calendar year. See </w:t>
      </w:r>
      <w:hyperlink r:id="rId16">
        <w:r>
          <w:rPr>
            <w:rStyle w:val="Hyperlink"/>
            <w:rFonts w:ascii="Times New Roman" w:hAnsi="Times New Roman"/>
            <w:b w:val="false"/>
            <w:i w:val="false"/>
            <w:color w:val="000000"/>
            <w:sz w:val="22"/>
          </w:rPr>
          <w:t>paragraph 7.36(8)</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examples pertaining to the tax return preparer PTIN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7.36(3)</w:t>
      </w:r>
      <w:r>
        <w:rPr>
          <w:rFonts w:ascii="Times New Roman" w:hAnsi="Times New Roman"/>
          <w:b w:val="false"/>
          <w:i w:val="false"/>
          <w:color w:val="000000"/>
          <w:sz w:val="22"/>
        </w:rPr>
        <w:t> </w:t>
      </w:r>
      <w:r>
        <w:rPr>
          <w:rFonts w:ascii="Times New Roman" w:hAnsi="Times New Roman"/>
          <w:b w:val="false"/>
          <w:i/>
          <w:color w:val="000000"/>
          <w:sz w:val="22"/>
        </w:rPr>
        <w:t xml:space="preserve">Tax return preparer continuing education requirement. </w:t>
      </w:r>
      <w:r>
        <w:rPr>
          <w:rFonts w:ascii="Times New Roman" w:hAnsi="Times New Roman"/>
          <w:b w:val="false"/>
          <w:i w:val="false"/>
          <w:color w:val="000000"/>
          <w:sz w:val="22"/>
        </w:rPr>
        <w:t xml:space="preserve">Beginning January 1, 2020, and every year thereafter, a tax return preparer shall complete a minimum of 15 hours of continuing education courses each year. At least two hours of continuing education shall be on professional ethics, and the remaining hours shall pertain to federal or state income tax. Each course shall be taken from an IRS-approved provider of continuing education. If a course offered by an IRS-approved provider is primarily on state-specific income tax content, the course will qualify for the continuing education requirements under Iowa Code section </w:t>
      </w:r>
      <w:hyperlink r:id="rId17">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 xml:space="preserve"> and this rule, even if such course does not count toward federal continuing professional education. Tax return preparers who complete more than the required 15 hours of continuing education in one calendar year may not count the excess hours toward a subsequent year’s requirement. See </w:t>
      </w:r>
      <w:hyperlink r:id="rId18">
        <w:r>
          <w:rPr>
            <w:rStyle w:val="Hyperlink"/>
            <w:rFonts w:ascii="Times New Roman" w:hAnsi="Times New Roman"/>
            <w:b w:val="false"/>
            <w:i w:val="false"/>
            <w:color w:val="000000"/>
            <w:sz w:val="22"/>
          </w:rPr>
          <w:t>paragraph 7.36(8)</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examples pertaining to the tax return preparer continuing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7.36(4)</w:t>
      </w:r>
      <w:r>
        <w:rPr>
          <w:rFonts w:ascii="Times New Roman" w:hAnsi="Times New Roman"/>
          <w:b w:val="false"/>
          <w:i w:val="false"/>
          <w:color w:val="000000"/>
          <w:sz w:val="22"/>
        </w:rPr>
        <w:t> </w:t>
      </w:r>
      <w:r>
        <w:rPr>
          <w:rFonts w:ascii="Times New Roman" w:hAnsi="Times New Roman"/>
          <w:b w:val="false"/>
          <w:i/>
          <w:color w:val="000000"/>
          <w:sz w:val="22"/>
        </w:rPr>
        <w:t xml:space="preserve">Preparation of income tax returns or claims for refund. </w:t>
      </w:r>
      <w:r>
        <w:rPr>
          <w:rFonts w:ascii="Times New Roman" w:hAnsi="Times New Roman"/>
          <w:b w:val="false"/>
          <w:i w:val="false"/>
          <w:color w:val="000000"/>
          <w:sz w:val="22"/>
        </w:rPr>
        <w:t>An individual prepares an income tax return or claim for refund when the individual signs (or should sign) a return, either because the individual completes the return or because the individual assumes final responsibility for preliminary work completed by other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7.36(5)</w:t>
      </w:r>
      <w:r>
        <w:rPr>
          <w:rFonts w:ascii="Times New Roman" w:hAnsi="Times New Roman"/>
          <w:b w:val="false"/>
          <w:i w:val="false"/>
          <w:color w:val="000000"/>
          <w:sz w:val="22"/>
        </w:rPr>
        <w:t> </w:t>
      </w:r>
      <w:r>
        <w:rPr>
          <w:rFonts w:ascii="Times New Roman" w:hAnsi="Times New Roman"/>
          <w:b w:val="false"/>
          <w:i/>
          <w:color w:val="000000"/>
          <w:sz w:val="22"/>
        </w:rPr>
        <w:t xml:space="preserve">Approved providers and courses.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Approved providers of continuing education. </w:t>
      </w:r>
      <w:r>
        <w:rPr>
          <w:rFonts w:ascii="Times New Roman" w:hAnsi="Times New Roman"/>
          <w:b w:val="false"/>
          <w:i w:val="false"/>
          <w:color w:val="000000"/>
          <w:sz w:val="22"/>
        </w:rPr>
        <w:t>Any IRS-approved provider of continuing education is acceptable. It is not mandatory that a continuing education course be taken from an Iowa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Approved continuing education course subject matters. </w:t>
      </w:r>
      <w:r>
        <w:rPr>
          <w:rFonts w:ascii="Times New Roman" w:hAnsi="Times New Roman"/>
          <w:b w:val="false"/>
          <w:i w:val="false"/>
          <w:color w:val="000000"/>
          <w:sz w:val="22"/>
        </w:rPr>
        <w:t>All continuing education courses shall be on the topics of federal or state income tax or 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Approved continuing education format. </w:t>
      </w:r>
      <w:r>
        <w:rPr>
          <w:rFonts w:ascii="Times New Roman" w:hAnsi="Times New Roman"/>
          <w:b w:val="false"/>
          <w:i w:val="false"/>
          <w:color w:val="000000"/>
          <w:sz w:val="22"/>
        </w:rPr>
        <w:t xml:space="preserve">Continuing education courses that satisfy the requirements of Iowa Code section </w:t>
      </w:r>
      <w:hyperlink r:id="rId19">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 xml:space="preserve"> and this rule may be taken for credit in person, online, or by self-study, as long as they are administered by an IRS-approved provider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7.36(6)</w:t>
      </w:r>
      <w:r>
        <w:rPr>
          <w:rFonts w:ascii="Times New Roman" w:hAnsi="Times New Roman"/>
          <w:b w:val="false"/>
          <w:i w:val="false"/>
          <w:color w:val="000000"/>
          <w:sz w:val="22"/>
        </w:rPr>
        <w:t> </w:t>
      </w:r>
      <w:r>
        <w:rPr>
          <w:rFonts w:ascii="Times New Roman" w:hAnsi="Times New Roman"/>
          <w:b w:val="false"/>
          <w:i/>
          <w:color w:val="000000"/>
          <w:sz w:val="22"/>
        </w:rPr>
        <w:t xml:space="preserve">Reporting hours of continuing education and retaining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hours of continuing education to the department. </w:t>
      </w:r>
      <w:r>
        <w:rPr>
          <w:rFonts w:ascii="Times New Roman" w:hAnsi="Times New Roman"/>
          <w:b w:val="false"/>
          <w:i w:val="false"/>
          <w:color w:val="000000"/>
          <w:sz w:val="22"/>
        </w:rPr>
        <w:t>Tax return preparers shall report their continuing education hours to the department by February 15 of the calendar year following the year in which hours were completed to be eligible to prepare income tax returns or claims for refund. Hours must be reported using IA Form 78-012. If a tax return preparer fails to complete the required minimum hours of continuing education by the date prescribed in this subrule, the individual must show that failure to do so was reasonable under the circumstances and not willful or reckless conduct. IRS-approved providers are not required to report continuing education courses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Retaining records of continuing education. </w:t>
      </w:r>
      <w:r>
        <w:rPr>
          <w:rFonts w:ascii="Times New Roman" w:hAnsi="Times New Roman"/>
          <w:b w:val="false"/>
          <w:i w:val="false"/>
          <w:color w:val="000000"/>
          <w:sz w:val="22"/>
        </w:rPr>
        <w:t>Tax return preparers are required to retain records of continuing education completion for a minimum of five years. This record retention shall include, but is not limited to, certificates of completion if offered by the IRS-approved provider of continuing education upon completion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7.36(7)</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tax return preparer. </w:t>
      </w:r>
      <w:r>
        <w:rPr>
          <w:rFonts w:ascii="Times New Roman" w:hAnsi="Times New Roman"/>
          <w:b w:val="false"/>
          <w:i w:val="false"/>
          <w:color w:val="000000"/>
          <w:sz w:val="22"/>
        </w:rPr>
        <w:t xml:space="preserve">When a tax return preparer fails to complete the minimum 15 hours of continuing education courses as required by Iowa Code section </w:t>
      </w:r>
      <w:hyperlink r:id="rId20">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 xml:space="preserve"> and this rule but demonstrates that the failure was reasonable under the circumstances and not willful or reckless conduct, the department may require the tax return preparer to make up any uncompleted hours and submit a completed IA Form 78-012 to the department by a date set by the department before the tax return preparer may engage in activity as a tax return preparer.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7.36(8)</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 return preparer examples.</w:t>
      </w:r>
    </w:p>
    <w:p>
      <w:pPr>
        <w:spacing w:before="0" w:after="0"/>
        <w:ind w:left="120"/>
        <w:jc w:val="both"/>
      </w:pPr>
      <w:r>
        <w:rPr>
          <w:rFonts w:ascii="Times New Roman" w:hAnsi="Times New Roman"/>
          <w:b w:val="false"/>
          <w:i w:val="false"/>
          <w:color w:val="000000"/>
          <w:sz w:val="22"/>
        </w:rPr>
        <w:t xml:space="preserve">Example 1: During the 2020 calendar year and every prior year, an individual, N, prepares nine or fewer income tax returns or claims for refund described in this rule for a fee or other consideration. During the 2021 calendar year, N, for a fee or other consideration, prepares ten income tax returns or claims for refund described in this rule. N meets the definition of a tax return preparer for the 2021 calendar year. Therefore, N will be subject to the penalty for failure to include N’s PTIN on every income tax return or claim for refund described in this rule that N prepares during the 2021 calendar year. However, N also qualifies as a “new tax preparer” for the 2021 calendar year because this is the first year N satisfies the definition of a “tax return preparer.” Therefore, N does not need to complete 15 hours of continuing education courses during 2020 to prepare returns in 2021, but N will need to complete the minimum 15 hours of continuing education courses during the 2021 calendar year to be eligible to prepare returns during the 2022 calendar year if N will meet the definition of “tax return preparer” in 2022. </w:t>
      </w:r>
    </w:p>
    <w:p>
      <w:pPr>
        <w:spacing w:before="0" w:after="0"/>
        <w:ind w:left="120"/>
        <w:jc w:val="both"/>
      </w:pPr>
      <w:r>
        <w:rPr>
          <w:rFonts w:ascii="Times New Roman" w:hAnsi="Times New Roman"/>
          <w:b w:val="false"/>
          <w:i w:val="false"/>
          <w:color w:val="000000"/>
          <w:sz w:val="22"/>
        </w:rPr>
        <w:t>Example 2: An individual, B, prepares ten income tax returns or claims for refund described in this rule during the 2019 calendar year for a fee or other consideration. Therefore, B is a tax return preparer. However, B is not required to complete any hours of continuing education courses prior to preparing returns in 2020, nor will B incur a penalty for failing to include B’s PTIN on any of those returns prepared in calendar year 2019 because the requirements described in this rule do not take effect until January 1, 2020. Assume B continues to prepare income tax returns or claims for refund described in this rule for a fee or other consideration during the 2020 calendar year, but B only prepares a total of nine such tax returns throughout the entire 2020 calendar year. B does not complete any hours of continuing education courses during the 2020 calendar year. B will not be eligible to prepare ten or more income tax returns or refund claims described in this rule for a fee or other consideration during the 2021 calendar year because even though B did not prepare ten or more income tax returns or claims for refund in 2020, B would have been classified as a tax return preparer in 2019. Thus, B is not considered a new tax preparer for purposes of the 2021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requirement examples.</w:t>
      </w:r>
    </w:p>
    <w:p>
      <w:pPr>
        <w:spacing w:before="0" w:after="0"/>
        <w:ind w:left="120"/>
        <w:jc w:val="both"/>
      </w:pPr>
      <w:r>
        <w:rPr>
          <w:rFonts w:ascii="Times New Roman" w:hAnsi="Times New Roman"/>
          <w:b w:val="false"/>
          <w:i w:val="false"/>
          <w:color w:val="000000"/>
          <w:sz w:val="22"/>
        </w:rPr>
        <w:t>Example 3: During the 2020 calendar year, an individual, P, prepares ten income tax returns or claims for refund described in this rule for a fee or other consideration. Therefore, P is a tax return preparer. During the 2020 calendar year, P also completes 30 hours of continuing education courses from programs offered by an IRS-approved provider of continuing education, 4 hours of which are on professional ethics and the remaining hours on income tax. P is eligible to prepare returns during the 2021 calendar year. However, P must complete 15 additional hours of continuing education courses offered by an IRS-approved provider, including 2 hours on professional ethics and the remaining hours on income tax, during the 2021 calendar year to be eligible to prepare returns during the 2022 calendar year if P will meet the definition of “tax return preparer” in 2022. P’s excess hours completed in 2020 may not be applied toward the 15 hours of continuing education courses that P must complete in 2021 to be eligible to prepare returns in 2022.</w:t>
      </w:r>
    </w:p>
    <w:p>
      <w:pPr>
        <w:spacing w:before="0" w:after="0"/>
        <w:ind w:left="120"/>
        <w:jc w:val="both"/>
      </w:pPr>
      <w:r>
        <w:rPr>
          <w:rFonts w:ascii="Times New Roman" w:hAnsi="Times New Roman"/>
          <w:b w:val="false"/>
          <w:i w:val="false"/>
          <w:color w:val="000000"/>
          <w:sz w:val="22"/>
        </w:rPr>
        <w:t>Example 4: During the 2020 calendar year, a tax return preparer, P, completes 12 hours of continuing education courses from programs offered by an IRS-approved provider of continuing education. Two of the hours are on professional ethics, and the rest relate to income tax. P is not eligible to prepare income tax returns or claims for refund during the 2021 calendar year, regardless of the year of the returns P is preparing, because P has not completed a total of 15 continuing education hours during the 2020 calendar year. During the 2021 calendar year, P completes 15 hours of continuing education courses from programs offered by an IRS-approved provider. Two of P’s hours are from professional ethics courses, and the remaining 13 hours are from income tax courses. P is eligible to prepare returns during the 2022 calendar year, regardless of the years of the returns P prepares. However, P is still ineligible to prepare returns for the remaining duration of the 2021 calendar year, regardless of the years of the returns P wishes to prepare.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PTIN requirement examples.</w:t>
      </w:r>
    </w:p>
    <w:p>
      <w:pPr>
        <w:spacing w:before="0" w:after="0"/>
        <w:ind w:left="120"/>
        <w:jc w:val="both"/>
      </w:pPr>
      <w:r>
        <w:rPr>
          <w:rFonts w:ascii="Times New Roman" w:hAnsi="Times New Roman"/>
          <w:b w:val="false"/>
          <w:i w:val="false"/>
          <w:color w:val="000000"/>
          <w:sz w:val="22"/>
        </w:rPr>
        <w:t>Example 5: An individual, X, works at a firm in the business of preparing income tax returns for a fee or other consideration. X completes a substantial amount of preliminary work on ten returns described in this rule during the scope of X’s employment (that are not the returns of X’s employer) during the 2020 calendar year, but X does not assume final responsibility for the work or sign the returns. Instead, X’s supervisor, Y, reviews the work completed by X and signs the returns. Y is a tax return preparer because Y assumed final responsibility for the returns. Therefore, Y’s PTIN is required on all of the returns. X’s PTIN is not required on any of the returns, nor will X incur any penalties for omitting X’s PTIN on the returns.</w:t>
      </w:r>
    </w:p>
    <w:p>
      <w:pPr>
        <w:spacing w:before="0" w:after="0"/>
        <w:ind w:left="120"/>
        <w:jc w:val="both"/>
      </w:pPr>
      <w:r>
        <w:rPr>
          <w:rFonts w:ascii="Times New Roman" w:hAnsi="Times New Roman"/>
          <w:b w:val="false"/>
          <w:i w:val="false"/>
          <w:color w:val="000000"/>
          <w:sz w:val="22"/>
        </w:rPr>
        <w:t>Example 6: An individual, X, has a partnership with another individual, Y, in which X and Y prepare income tax returns for a fee or other consideration. X completes ten returns described in this rule during the 2020 calendar year. However, before X signs or files the returns, X asks Y to review the returns. Y reviews the returns and suggests substantial changes, but Y then gives the returns back to X. X makes the necessary changes, then signs and files the returns. X is a tax return preparer. X’s PTIN is required on all of the returns because X assumed final responsibility for the returns. Y’s PTIN is not required on any of the returns. If X fails to include X’s PTIN on any of the returns, X will incur a $50 civil penalty for each violation unless X shows that X’s failure was reasonable under the circumstances and not willful or reckless conduct.</w:t>
      </w:r>
    </w:p>
    <w:p>
      <w:pPr>
        <w:spacing w:before="0" w:after="0"/>
        <w:ind w:left="120"/>
        <w:jc w:val="both"/>
      </w:pPr>
      <w:r>
        <w:rPr>
          <w:rFonts w:ascii="Times New Roman" w:hAnsi="Times New Roman"/>
          <w:b w:val="false"/>
          <w:i w:val="false"/>
          <w:color w:val="000000"/>
          <w:sz w:val="22"/>
        </w:rPr>
        <w:t>Example 7: An individual, X, completes five income tax returns and five claims for refund described in this rule for a fee or other consideration during the 2020 calendar year. X does not sign the returns, even though no other paid tax return preparer reviewed X’s work and took final responsibility for the return. X’s PTIN is required on all of the returns because X is a paid tax return preparer for those returns, even though X failed to sign the returns as required. X is subject to a fine of $50 per return that did not contain the required PTIN because X is a tax return preparer.</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421.62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421.63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5190C</w:t>
      </w:r>
      <w:r>
        <w:rPr>
          <w:rFonts w:ascii="Times New Roman" w:hAnsi="Times New Roman"/>
          <w:b w:val="false"/>
          <w:i w:val="false"/>
          <w:color w:val="000000"/>
          <w:sz w:val="16"/>
        </w:rPr>
        <w:t>, IAB 9/23/20, effective 10/28/20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62.pdf" Type="http://schemas.openxmlformats.org/officeDocument/2006/relationships/hyperlink" Id="rId4"/>
    <Relationship TargetMode="External" Target="https://www.legis.iowa.gov/docs/ico/chapter/421.63.pdf" Type="http://schemas.openxmlformats.org/officeDocument/2006/relationships/hyperlink" Id="rId5"/>
    <Relationship TargetMode="External" Target="https://www.legis.iowa.gov/docs/ico/chapter/421.64.pdf" Type="http://schemas.openxmlformats.org/officeDocument/2006/relationships/hyperlink" Id="rId6"/>
    <Relationship TargetMode="External" Target="https://www.legis.iowa.gov/docs/ico/chapter/542.pdf" Type="http://schemas.openxmlformats.org/officeDocument/2006/relationships/hyperlink" Id="rId7"/>
    <Relationship TargetMode="External" Target="https://www.legis.iowa.gov/docs/ico/chapter/542.pdf" Type="http://schemas.openxmlformats.org/officeDocument/2006/relationships/hyperlink" Id="rId8"/>
    <Relationship TargetMode="External" Target="https://www.legis.iowa.gov/docs/ico/chapter/422.pdf" Type="http://schemas.openxmlformats.org/officeDocument/2006/relationships/hyperlink" Id="rId9"/>
    <Relationship TargetMode="External" Target="https://www.legis.iowa.gov/docs/ico/chapter/422.16.pdf" Type="http://schemas.openxmlformats.org/officeDocument/2006/relationships/hyperlink" Id="rId10"/>
    <Relationship TargetMode="External" Target="https://www.legis.iowa.gov/docs/ico/chapter/421.62.pdf" Type="http://schemas.openxmlformats.org/officeDocument/2006/relationships/hyperlink" Id="rId11"/>
    <Relationship TargetMode="External" Target="https://www.legis.iowa.gov/docs/iac/rule/701.7.36.pdf" Type="http://schemas.openxmlformats.org/officeDocument/2006/relationships/hyperlink" Id="rId12"/>
    <Relationship TargetMode="External" Target="https://www.legis.iowa.gov/docs/ico/chapter/542.pdf" Type="http://schemas.openxmlformats.org/officeDocument/2006/relationships/hyperlink" Id="rId13"/>
    <Relationship TargetMode="External" Target="https://www.legis.iowa.gov/docs/iac/rule/701.7.36.pdf" Type="http://schemas.openxmlformats.org/officeDocument/2006/relationships/hyperlink" Id="rId14"/>
    <Relationship TargetMode="External" Target="https://www.legis.iowa.gov/docs/ico/chapter/421.62.pdf" Type="http://schemas.openxmlformats.org/officeDocument/2006/relationships/hyperlink" Id="rId15"/>
    <Relationship TargetMode="External" Target="https://www.legis.iowa.gov/docs/iac/rule/701.7.36.pdf" Type="http://schemas.openxmlformats.org/officeDocument/2006/relationships/hyperlink" Id="rId16"/>
    <Relationship TargetMode="External" Target="https://www.legis.iowa.gov/docs/ico/chapter/421.64.pdf" Type="http://schemas.openxmlformats.org/officeDocument/2006/relationships/hyperlink" Id="rId17"/>
    <Relationship TargetMode="External" Target="https://www.legis.iowa.gov/docs/iac/rule/701.7.36.pdf" Type="http://schemas.openxmlformats.org/officeDocument/2006/relationships/hyperlink" Id="rId18"/>
    <Relationship TargetMode="External" Target="https://www.legis.iowa.gov/docs/ico/chapter/421.64.pdf" Type="http://schemas.openxmlformats.org/officeDocument/2006/relationships/hyperlink" Id="rId19"/>
    <Relationship TargetMode="External" Target="https://www.legis.iowa.gov/docs/ico/chapter/421.64.pdf" Type="http://schemas.openxmlformats.org/officeDocument/2006/relationships/hyperlink" Id="rId20"/>
    <Relationship TargetMode="External" Target="https://www.legis.iowa.gov/docs/ico/chapter/421.62.pdf" Type="http://schemas.openxmlformats.org/officeDocument/2006/relationships/hyperlink" Id="rId21"/>
    <Relationship TargetMode="External" Target="https://www.legis.iowa.gov/docs/ico/chapter/421.63.pdf" Type="http://schemas.openxmlformats.org/officeDocument/2006/relationships/hyperlink" Id="rId22"/>
    <Relationship TargetMode="External" Target="https://www.legis.iowa.gov/docs/ico/chapter/421.64.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