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701—7.35</w:t>
      </w:r>
      <w:r>
        <w:rPr>
          <w:rFonts w:ascii="Times New Roman" w:hAnsi="Times New Roman"/>
          <w:b/>
          <w:i w:val="false"/>
          <w:color w:val="000000"/>
          <w:sz w:val="22"/>
        </w:rPr>
        <w:t xml:space="preserve">(421) </w:t>
      </w:r>
      <w:r>
        <w:rPr>
          <w:rFonts w:ascii="Times New Roman" w:hAnsi="Times New Roman"/>
          <w:b/>
          <w:i w:val="false"/>
          <w:color w:val="000000"/>
          <w:sz w:val="22"/>
        </w:rPr>
        <w:t xml:space="preserve">Taxpayer designation of tax type and period to which voluntary payments are to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val="false"/>
          <w:color w:val="000000"/>
          <w:sz w:val="22"/>
        </w:rPr>
        <w:t>A taxpayer may designate in separate written instructions accompanying the payment the type of tax and tax periods to which any voluntary payment is to be applied. The taxpayer may not designate the application of payments which are the result of enforced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val="false"/>
          <w:color w:val="000000"/>
          <w:sz w:val="22"/>
        </w:rPr>
        <w:t>Enforced collection includes, but is not limited to, garnishment of wages, bank accounts, or payments due the taxpayer, or seizure of assets.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6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