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701—7.29</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color w:val="000000"/>
          <w:sz w:val="22"/>
        </w:rPr>
        <w:t xml:space="preserve">Filing, form, and contents of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Any person or agency may file a petition for rule making using one of the methods described in </w:t>
      </w:r>
      <w:hyperlink r:id="rId4">
        <w:r>
          <w:rPr>
            <w:rStyle w:val="Hyperlink"/>
            <w:rFonts w:ascii="Times New Roman" w:hAnsi="Times New Roman"/>
            <w:b w:val="false"/>
            <w:i w:val="false"/>
            <w:color w:val="000000"/>
            <w:sz w:val="22"/>
          </w:rPr>
          <w:t>subrule 7.3(1)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 petition may be filed using the form available on GovConnectIowa or the form available on the department’s website, </w:t>
      </w:r>
      <w:hyperlink r:id="rId5">
        <w:r>
          <w:rPr>
            <w:rStyle w:val="Hyperlink"/>
            <w:rFonts w:ascii="Times New Roman" w:hAnsi="Times New Roman"/>
            <w:b w:val="false"/>
            <w:i w:val="false"/>
            <w:color w:val="000000"/>
            <w:sz w:val="22"/>
            <w:u w:val="single"/>
          </w:rPr>
          <w:t>tax.iowa.gov/forms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that do not use the form available on GovConnectIowa, or the form available on the department’s website, shall follow the following format:</w:t>
      </w:r>
    </w:p>
    <w:p>
      <w:pPr>
        <w:spacing w:before="60" w:after="0"/>
        <w:ind w:left="120"/>
        <w:jc w:val="center"/>
      </w:pPr>
      <w:r>
        <w:rPr>
          <w:rFonts w:ascii="Times New Roman" w:hAnsi="Times New Roman"/>
          <w:b w:val="false"/>
          <w:i w:val="false"/>
          <w:color w:val="000000"/>
          <w:sz w:val="22"/>
        </w:rPr>
        <w:t>DEPARTMENT OF REVENUE</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Petition by (Name of Petitioner)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the (adoption, amendment, or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RULE MAKING</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repeal) of rules relating to (state </w:t>
            </w:r>
          </w:p>
        </w:tc>
        <w:tc>
          <w:tcPr>
            <w:tcW w:w="91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subject matter).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citation to any law deemed relevant to the department’s authority to take the action urged or to the desirability of that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petitioner’s arguments in support of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complete history of any prior contacts between the petitioner and the department relating to the activity affected by the proposed rule making, including audits, notices of assessment, refund claims, appeals, contested case hearings, or investigative reports relating to the activity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the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request by the petitioner for a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that are not covered by the above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File-stamped copy. </w:t>
      </w:r>
      <w:r>
        <w:rPr>
          <w:rFonts w:ascii="Times New Roman" w:hAnsi="Times New Roman"/>
          <w:b w:val="false"/>
          <w:i w:val="false"/>
          <w:color w:val="000000"/>
          <w:sz w:val="22"/>
        </w:rPr>
        <w:t>The department will provide the petitioner with a file-stamped copy of the petition if the petitioner provides the department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color w:val="000000"/>
          <w:sz w:val="22"/>
        </w:rPr>
        <w:t xml:space="preserve">Form signed and dated. </w:t>
      </w:r>
      <w:r>
        <w:rPr>
          <w:rFonts w:ascii="Times New Roman" w:hAnsi="Times New Roman"/>
          <w:b w:val="false"/>
          <w:i w:val="false"/>
          <w:color w:val="000000"/>
          <w:sz w:val="22"/>
        </w:rPr>
        <w:t>The petition must be signed and dated by the petitioner or the petitioner’s representative. It must also include the name, mailing address, telephone number, and email address of the petitioner and of the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color w:val="000000"/>
          <w:sz w:val="22"/>
        </w:rPr>
        <w:t xml:space="preserve">Denial by department. </w:t>
      </w:r>
      <w:r>
        <w:rPr>
          <w:rFonts w:ascii="Times New Roman" w:hAnsi="Times New Roman"/>
          <w:b w:val="false"/>
          <w:i w:val="false"/>
          <w:color w:val="000000"/>
          <w:sz w:val="22"/>
        </w:rPr>
        <w:t>The department may deny a petition because it does not substantially conform to the required form or because all the required information has not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7.29(4)</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department may request a brief from the petitioner or from any other person concerning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7.29(5)</w:t>
      </w:r>
      <w:r>
        <w:rPr>
          <w:rFonts w:ascii="Times New Roman" w:hAnsi="Times New Roman"/>
          <w:b w:val="false"/>
          <w:i w:val="false"/>
          <w:color w:val="000000"/>
          <w:sz w:val="22"/>
        </w:rPr>
        <w:t> </w:t>
      </w:r>
      <w:r>
        <w:rPr>
          <w:rFonts w:ascii="Times New Roman" w:hAnsi="Times New Roman"/>
          <w:b w:val="false"/>
          <w:i/>
          <w:color w:val="000000"/>
          <w:sz w:val="22"/>
        </w:rPr>
        <w:t xml:space="preserve">Status of petition. </w:t>
      </w:r>
      <w:r>
        <w:rPr>
          <w:rFonts w:ascii="Times New Roman" w:hAnsi="Times New Roman"/>
          <w:b w:val="false"/>
          <w:i w:val="false"/>
          <w:color w:val="000000"/>
          <w:sz w:val="22"/>
        </w:rPr>
        <w:t xml:space="preserve">Inquiries concerning the status of a petition for rule making may be made to the department’s administrative rules coordinator by mail at the address listed in </w:t>
      </w:r>
      <w:hyperlink r:id="rId6">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email to the address provided in </w:t>
      </w:r>
      <w:hyperlink r:id="rId7">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7.29(6)</w:t>
      </w:r>
      <w:r>
        <w:rPr>
          <w:rFonts w:ascii="Times New Roman" w:hAnsi="Times New Roman"/>
          <w:b w:val="false"/>
          <w:i w:val="false"/>
          <w:color w:val="000000"/>
          <w:sz w:val="22"/>
        </w:rPr>
        <w:t> </w:t>
      </w:r>
      <w:r>
        <w:rPr>
          <w:rFonts w:ascii="Times New Roman" w:hAnsi="Times New Roman"/>
          <w:b w:val="false"/>
          <w:i/>
          <w:color w:val="000000"/>
          <w:sz w:val="22"/>
        </w:rPr>
        <w:t xml:space="preserve">Informal meeting. </w:t>
      </w:r>
      <w:r>
        <w:rPr>
          <w:rFonts w:ascii="Times New Roman" w:hAnsi="Times New Roman"/>
          <w:b w:val="false"/>
          <w:i w:val="false"/>
          <w:color w:val="000000"/>
          <w:sz w:val="22"/>
        </w:rPr>
        <w:t>If requested in the petition by the petitioner, the department may schedule an informal meeting between the petitioner and the department, or a member of the staff of the department, to discuss the petition. The department may request that the petitioner submit additional information or argument concerning the petition. The department may also solicit comments from any person on the substance of the petition. Also, comments on the substance of the petition may be submitted to the department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7.29(7)</w:t>
      </w:r>
      <w:r>
        <w:rPr>
          <w:rFonts w:ascii="Times New Roman" w:hAnsi="Times New Roman"/>
          <w:b w:val="false"/>
          <w:i w:val="false"/>
          <w:color w:val="000000"/>
          <w:sz w:val="22"/>
        </w:rPr>
        <w:t> </w:t>
      </w:r>
      <w:r>
        <w:rPr>
          <w:rFonts w:ascii="Times New Roman" w:hAnsi="Times New Roman"/>
          <w:b w:val="false"/>
          <w:i/>
          <w:color w:val="000000"/>
          <w:sz w:val="22"/>
        </w:rPr>
        <w:t xml:space="preserve">Action required. </w:t>
      </w:r>
      <w:r>
        <w:rPr>
          <w:rFonts w:ascii="Times New Roman" w:hAnsi="Times New Roman"/>
          <w:b w:val="false"/>
          <w:i w:val="false"/>
          <w:color w:val="000000"/>
          <w:sz w:val="22"/>
        </w:rPr>
        <w:t>Within 60 days after the filing of the petition, or within an extended period as agreed to by the petitioner, the department must, in writing, either: (a) deny the petition and notify the petitioner of the department’s action and the specific grounds for the denial; or (b) grant the petition and notify the petitioner that the department has instituted rule-making proceedings on the subject of the petition. The petitioner shall be deemed notified of the denial of the petition or the granting of the petition on the date that the department mails or delivers the required notification to the petitioner. All orders granting or denying a petition shall be submitted to 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7.29(8)</w:t>
      </w:r>
      <w:r>
        <w:rPr>
          <w:rFonts w:ascii="Times New Roman" w:hAnsi="Times New Roman"/>
          <w:b w:val="false"/>
          <w:i w:val="false"/>
          <w:color w:val="000000"/>
          <w:sz w:val="22"/>
        </w:rPr>
        <w:t> </w:t>
      </w:r>
      <w:r>
        <w:rPr>
          <w:rFonts w:ascii="Times New Roman" w:hAnsi="Times New Roman"/>
          <w:b w:val="false"/>
          <w:i/>
          <w:color w:val="000000"/>
          <w:sz w:val="22"/>
        </w:rPr>
        <w:t xml:space="preserve">New petition. </w:t>
      </w:r>
      <w:r>
        <w:rPr>
          <w:rFonts w:ascii="Times New Roman" w:hAnsi="Times New Roman"/>
          <w:b w:val="false"/>
          <w:i w:val="false"/>
          <w:color w:val="000000"/>
          <w:sz w:val="22"/>
        </w:rPr>
        <w:t>Denial of a petition because the petition does not substantially conform to the required form does not preclude the filing of a new petition on the same subject when the new petition contains the required information that was the basis for the original denial.</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3.pdf" Type="http://schemas.openxmlformats.org/officeDocument/2006/relationships/hyperlink" Id="rId4"/>
    <Relationship TargetMode="External" Target="http://tax.iowa.gov/forms" Type="http://schemas.openxmlformats.org/officeDocument/2006/relationships/hyperlink" Id="rId5"/>
    <Relationship TargetMode="External" Target="https://www.legis.iowa.gov/docs/iac/rule/701.7.3.pdf" Type="http://schemas.openxmlformats.org/officeDocument/2006/relationships/hyperlink" Id="rId6"/>
    <Relationship TargetMode="External" Target="https://www.legis.iowa.gov/docs/iac/rule/701.7.3.pdf" Type="http://schemas.openxmlformats.org/officeDocument/2006/relationships/hyperlink" Id="rId7"/>
    <Relationship TargetMode="External" Target="https://www.legis.iowa.gov/docs/ico/chapter/17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