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701—7.28</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certain department rules. </w:t>
      </w:r>
      <w:r>
        <w:rPr>
          <w:rFonts w:ascii="Times New Roman" w:hAnsi="Times New Roman"/>
          <w:b w:val="false"/>
          <w:i w:val="false"/>
          <w:color w:val="000000"/>
          <w:sz w:val="22"/>
        </w:rPr>
        <w:t xml:space="preserve">All discretionary rules or discretionary provisions in a rule over which the department has jurisdiction, in whole or in part, may be subject to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apply to the interpretation and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“Discretionary rule”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“discretionary provisions in a rule” </w:t>
      </w:r>
      <w:r>
        <w:rPr>
          <w:rFonts w:ascii="Times New Roman" w:hAnsi="Times New Roman"/>
          <w:b w:val="false"/>
          <w:i w:val="false"/>
          <w:color w:val="000000"/>
          <w:sz w:val="22"/>
        </w:rPr>
        <w:t>means rules or provisions in rules resulting from a delegation by the legislature to the department to create a binding rule to govern a given issue or area. The department is not interpreting any statutory provision of the law promulgated by the legislature in a discretionary rule. Instead, a discretionary rule is authorized by the legislature when the legislature has delegated the creation of binding rules to the department and the contents of such rules are at the discretion of the department. A rule that contains both discretionary and interpretive provisions is deemed to be a discretionary rule to the extent of the discretionary provisions in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“Interpretive rules”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“interpretive provisions in rules” </w:t>
      </w:r>
      <w:r>
        <w:rPr>
          <w:rFonts w:ascii="Times New Roman" w:hAnsi="Times New Roman"/>
          <w:b w:val="false"/>
          <w:i w:val="false"/>
          <w:color w:val="000000"/>
          <w:sz w:val="22"/>
        </w:rPr>
        <w:t>means rules or provisions in rules which define the meaning of a statute or other provision of law or precedent where the department does not possess the delegated authority to bind the courts to any extent with its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 department action which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color w:val="000000"/>
          <w:sz w:val="22"/>
        </w:rPr>
        <w:t xml:space="preserve">Scope of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creates generally applicable standards and a generally applicable process for granting individual waivers from the discretionary rules or discretionary provisions in rules adopted by the department in situations where no other specifically applicable law provides for waivers. To the extent another more specific provision of law purports to govern the issuance of a waiver from a particular rule, the more specific waiver provision shall supersede this rule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provisions set forth in this rule do not apply to rules over which the department does not have jurisdiction or when issuance of the waiver would be inconsistent with any applicable statute, constitutional provision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applies only to waiver of those rules that are within the exclusive rule-making authority of the department. This rule shall not apply to interpretive rules that merely interpret or construe the meaning of a statute, or other provision of law or precedent, if the department does not possess statutory authority to bind a court, to any extent, with its interpretation or construction. Thus, this waiver rule applies to discretionary rules and discretionary provisions in rules, and not to interpretive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of this rule is strictly limited to petitions for waiver filed outside of a contested case proceeding. Petitions for waiver from a discretionary rule or discretionary provisions in a rule filed after the commencement of a contested case as provided in rule </w:t>
      </w:r>
      <w:hyperlink r:id="rId4">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 will be treated as an issue of the contested case to be determined by the presiding officer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7.28(4)</w:t>
      </w:r>
      <w:r>
        <w:rPr>
          <w:rFonts w:ascii="Times New Roman" w:hAnsi="Times New Roman"/>
          <w:b w:val="false"/>
          <w:i w:val="false"/>
          <w:color w:val="000000"/>
          <w:sz w:val="22"/>
        </w:rPr>
        <w:t> </w:t>
      </w:r>
      <w:r>
        <w:rPr>
          <w:rFonts w:ascii="Times New Roman" w:hAnsi="Times New Roman"/>
          <w:b w:val="false"/>
          <w:i/>
          <w:color w:val="000000"/>
          <w:sz w:val="22"/>
        </w:rPr>
        <w:t xml:space="preserve">Authority to grant a waiver. </w:t>
      </w:r>
      <w:r>
        <w:rPr>
          <w:rFonts w:ascii="Times New Roman" w:hAnsi="Times New Roman"/>
          <w:b w:val="false"/>
          <w:i w:val="false"/>
          <w:color w:val="000000"/>
          <w:sz w:val="22"/>
        </w:rPr>
        <w:t>The director may not issue a waiver under this rule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legislature has delegated authority sufficient to justify the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is consistent with statutes and other provisions of law. No waiver from any mandatory requirement imposed by statute may be granted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7.28(5)</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 xml:space="preserve">In response to a petition, the director may, in the director’s sole discretion, issue an order granting a waiver from a discretionary rule or a discretionary provision in a rule adopted by the department, in whole or in part, as applied to the circumstances of a specified person, if the director finds that the waiver is consistent with subrules </w:t>
      </w:r>
      <w:hyperlink r:id="rId5">
        <w:r>
          <w:rPr>
            <w:rStyle w:val="Hyperlink"/>
            <w:rFonts w:ascii="Times New Roman" w:hAnsi="Times New Roman"/>
            <w:b w:val="false"/>
            <w:i w:val="false"/>
            <w:color w:val="000000"/>
            <w:sz w:val="22"/>
          </w:rPr>
          <w:t>7.28(3)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7.28(4)</w:t>
        </w:r>
      </w:hyperlink>
      <w:r>
        <w:rPr>
          <w:rFonts w:ascii="Times New Roman" w:hAnsi="Times New Roman"/>
          <w:b w:val="false"/>
          <w:i w:val="false"/>
          <w:color w:val="000000"/>
          <w:sz w:val="22"/>
        </w:rPr>
        <w:t xml:space="preserve"> and if all of the following criteria are also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waiver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rule or provisions of the rule are not specifically mandated by statute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or rule provision would result in an undue hardship or injustice to the petitioner;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means other than that prescribed in the rule or rule provision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7.28(6)</w:t>
      </w:r>
      <w:r>
        <w:rPr>
          <w:rFonts w:ascii="Times New Roman" w:hAnsi="Times New Roman"/>
          <w:b w:val="false"/>
          <w:i w:val="false"/>
          <w:color w:val="000000"/>
          <w:sz w:val="22"/>
        </w:rPr>
        <w:t> </w:t>
      </w:r>
      <w:r>
        <w:rPr>
          <w:rFonts w:ascii="Times New Roman" w:hAnsi="Times New Roman"/>
          <w:b w:val="false"/>
          <w:i/>
          <w:color w:val="000000"/>
          <w:sz w:val="22"/>
        </w:rPr>
        <w:t xml:space="preserve">Director’s discretion. </w:t>
      </w:r>
      <w:r>
        <w:rPr>
          <w:rFonts w:ascii="Times New Roman" w:hAnsi="Times New Roman"/>
          <w:b w:val="false"/>
          <w:i w:val="false"/>
          <w:color w:val="000000"/>
          <w:sz w:val="22"/>
        </w:rPr>
        <w:t>The final decision to grant or deny a waiver shall be vested in the director. This decision shall be made at the sole discretion of the director based upon consideration of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7.28(7)</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 xml:space="preserve">The burden of persuasion shall be on the petitioner to demonstrate by clear and convincing evidence that the director should exercise discretion to grant the petitioner a waiver based upon the criteria contained in subrule </w:t>
      </w:r>
      <w:hyperlink r:id="rId7">
        <w:r>
          <w:rPr>
            <w:rStyle w:val="Hyperlink"/>
            <w:rFonts w:ascii="Times New Roman" w:hAnsi="Times New Roman"/>
            <w:b w:val="false"/>
            <w:i w:val="false"/>
            <w:color w:val="000000"/>
            <w:sz w:val="22"/>
          </w:rPr>
          <w:t>7.28(5)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7.28(8)</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contents of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 petition for waiver may be filed using the form available on the department’s portal, GovConnectIowa. Alternatively, a petition for waiver may be filed using the form available on the department’s website, </w:t>
      </w:r>
      <w:hyperlink r:id="rId8">
        <w:r>
          <w:rPr>
            <w:rStyle w:val="Hyperlink"/>
            <w:rFonts w:ascii="Times New Roman" w:hAnsi="Times New Roman"/>
            <w:b w:val="false"/>
            <w:i w:val="false"/>
            <w:color w:val="000000"/>
            <w:sz w:val="22"/>
            <w:u w:val="single"/>
          </w:rPr>
          <w:t>tax.iowa.gov/forms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that do not use the department’s portal, GovConnectIowa, or the form available on the department’s website shall follow the following format:</w:t>
      </w:r>
    </w:p>
    <w:p>
      <w:pPr>
        <w:spacing w:before="60" w:after="0"/>
        <w:ind w:left="120"/>
        <w:jc w:val="center"/>
      </w:pPr>
      <w:r>
        <w:rPr>
          <w:rFonts w:ascii="Times New Roman" w:hAnsi="Times New Roman"/>
          <w:b w:val="false"/>
          <w:i w:val="false"/>
          <w:color w:val="000000"/>
          <w:sz w:val="22"/>
        </w:rPr>
        <w:t>IOWA 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Name of Petitioner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Address of Petitioner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WAIVER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of Tax at Issue</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manually created petition for waiver must contain all of the following,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telephone number, and case number or state identification number of the entity or person for whom a waiver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or rule provisions from which a waiver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a description of the precise scope and operative period for which the petitioner wants the waiver to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represented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complete history of any prior contacts between the petitioner and the department relating to the activity affected by the proposed waiver, including audits, notices of assessment, refund claims, appeals, contested case hearings, or investigative reports relating to the activity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relating to the department’s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of relevant facts to furnish the department with information relating to the waiver;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Signature by the petitioner at the conclusion of the petition attesting to the accuracy and truthfulness of the information set forth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7.28(9)</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 xml:space="preserve">A petition for waiver must be filed using one of the methods described in </w:t>
      </w:r>
      <w:hyperlink r:id="rId9">
        <w:r>
          <w:rPr>
            <w:rStyle w:val="Hyperlink"/>
            <w:rFonts w:ascii="Times New Roman" w:hAnsi="Times New Roman"/>
            <w:b w:val="false"/>
            <w:i w:val="false"/>
            <w:color w:val="000000"/>
            <w:sz w:val="22"/>
          </w:rPr>
          <w:t>subrule 7.3(1)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7.28(10)</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director may request additional information from the petitioner relating to the petition and surrounding circumstances. The director may, on the director’s own motion, or at the petitioner’s request, schedule a telephonic or in-person meeting between the petitioner or the petitioner’s representative, or both, and the director to discuss the petition and surrounding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7.28(11)</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for waiver. </w:t>
      </w:r>
      <w:r>
        <w:rPr>
          <w:rFonts w:ascii="Times New Roman" w:hAnsi="Times New Roman"/>
          <w:b w:val="false"/>
          <w:i w:val="false"/>
          <w:color w:val="000000"/>
          <w:sz w:val="22"/>
        </w:rPr>
        <w:t xml:space="preserve">The petitioner shall provide, within 30 days of filing the petition for waiver, a notice consisting of a concise summary of the contents of the petition for waiver and stating that the petition is pending. Such notice shall be mailed by the petitioner to all persons entitled to such notice. Such persons to whom notice must be mailed include, but are not limited to, the director and all parties to the petition for waiver, or the parties’ representatives. The petitioner must then file written notice to the department’s legal services section by mail to the address listed in </w:t>
      </w:r>
      <w:hyperlink r:id="rId10">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w:t>
      </w:r>
      <w:hyperlink r:id="rId11">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attesting that the notice has been mailed. The names, addresses and telephone numbers of the persons to whom the notices were mailed shall be included in the filed written notice. The department has the discretion to give such notice to persons other than those persons notified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7.28(12)</w:t>
      </w:r>
      <w:r>
        <w:rPr>
          <w:rFonts w:ascii="Times New Roman" w:hAnsi="Times New Roman"/>
          <w:b w:val="false"/>
          <w:i w:val="false"/>
          <w:color w:val="000000"/>
          <w:sz w:val="22"/>
        </w:rPr>
        <w:t> </w:t>
      </w:r>
      <w:r>
        <w:rPr>
          <w:rFonts w:ascii="Times New Roman" w:hAnsi="Times New Roman"/>
          <w:b w:val="false"/>
          <w:i/>
          <w:color w:val="000000"/>
          <w:sz w:val="22"/>
        </w:rPr>
        <w:t xml:space="preserve">Ruling on a petition for waiver. </w:t>
      </w:r>
      <w:r>
        <w:rPr>
          <w:rFonts w:ascii="Times New Roman" w:hAnsi="Times New Roman"/>
          <w:b w:val="false"/>
          <w:i w:val="false"/>
          <w:color w:val="000000"/>
          <w:sz w:val="22"/>
        </w:rPr>
        <w:t>An order granting or denying a waiver must conform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order granting or denying a waiver shall be in writing and shall contain a reference to the particular person and rule or rule provision to which the order pertains, a statement of the relevant facts and reasons upon which the action is based, and a description of the narrow and precise scope and operative time period of a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Conditions. The director may condition the grant of a waiver on any conditions which the director deems to be reasonable and appropriate in order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7.28(13)</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waiver; extension. </w:t>
      </w:r>
      <w:r>
        <w:rPr>
          <w:rFonts w:ascii="Times New Roman" w:hAnsi="Times New Roman"/>
          <w:b w:val="false"/>
          <w:i w:val="false"/>
          <w:color w:val="000000"/>
          <w:sz w:val="22"/>
        </w:rPr>
        <w:t xml:space="preserve">Unless otherwise provided, an order granting a petition for waiver will be effective for 12 months from the date the order granting the waiver is issued. Renewal of a granted waiver is not automatic. To renew the waiver beyond the 12-month period, the petitioner must file a new petition requesting a waiver. The renewal petition will be governed by the provisions in this rule and must be filed prior to the expiration date of the previously issued waiver or extension of waiver. Even if the order granting the waiver was issued in a contested case proceeding, any request for an extension shall be filed with and acted upon by the director. However, renewal petitions must request an extension of a previously issued waiver. Granting the extension of the waiver is at the director’s sole discretion and must be based upon whether the factors set out in subrules </w:t>
      </w:r>
      <w:hyperlink r:id="rId12">
        <w:r>
          <w:rPr>
            <w:rStyle w:val="Hyperlink"/>
            <w:rFonts w:ascii="Times New Roman" w:hAnsi="Times New Roman"/>
            <w:b w:val="false"/>
            <w:i w:val="false"/>
            <w:color w:val="000000"/>
            <w:sz w:val="22"/>
          </w:rPr>
          <w:t>7.28(4)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7.28(5)</w:t>
        </w:r>
      </w:hyperlink>
      <w:r>
        <w:rPr>
          <w:rFonts w:ascii="Times New Roman" w:hAnsi="Times New Roman"/>
          <w:b w:val="false"/>
          <w:i w:val="false"/>
          <w:color w:val="000000"/>
          <w:sz w:val="22"/>
        </w:rPr>
        <w:t xml:space="preserve"> remain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7.28(14)</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director shall grant or deny a petition for waiver as soon as practicable but, in any event, shall do so within 120 days of its receipt, unless the petitioner agrees in writing to a later date or the director indicates in a written order that it is impracticable to issue the order within the 120-day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7.28(15)</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director to grant or deny a waiver within the 120-day or the extended time period shall be deemed a denial of that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7.28(16)</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orders. </w:t>
      </w:r>
      <w:r>
        <w:rPr>
          <w:rFonts w:ascii="Times New Roman" w:hAnsi="Times New Roman"/>
          <w:b w:val="false"/>
          <w:i w:val="false"/>
          <w:color w:val="000000"/>
          <w:sz w:val="22"/>
        </w:rPr>
        <w:t>Within seven days of its issuance, any order issued under this rule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The department is required to maintain a record of all petitions for waiver and rulings granting or denying petitions for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Petitions for waiver. </w:t>
      </w:r>
      <w:r>
        <w:rPr>
          <w:rFonts w:ascii="Times New Roman" w:hAnsi="Times New Roman"/>
          <w:b w:val="false"/>
          <w:i w:val="false"/>
          <w:color w:val="000000"/>
          <w:sz w:val="22"/>
        </w:rPr>
        <w:t>The department shall maintain a record of all petitions for waiver available for public inspection. Such records will be indexed and filed and made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 of orders granting or denying a waiver. </w:t>
      </w:r>
      <w:r>
        <w:rPr>
          <w:rFonts w:ascii="Times New Roman" w:hAnsi="Times New Roman"/>
          <w:b w:val="false"/>
          <w:i w:val="false"/>
          <w:color w:val="000000"/>
          <w:sz w:val="22"/>
        </w:rPr>
        <w:t xml:space="preserve">All orders granting or denying a waiver shall be submitted on the Internet site as prescribed in Iowa Code section </w:t>
      </w:r>
      <w:hyperlink r:id="rId1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7.28(18)</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waiver. </w:t>
      </w:r>
      <w:r>
        <w:rPr>
          <w:rFonts w:ascii="Times New Roman" w:hAnsi="Times New Roman"/>
          <w:b w:val="false"/>
          <w:i w:val="false"/>
          <w:color w:val="000000"/>
          <w:sz w:val="22"/>
        </w:rPr>
        <w:t>A waiver issued pursuant to this rule may be withdrawn, canceled, or modified if, after appropriate notice, the director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who obtained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public health, safety, and welfare will be adequately protected after issuance of the waiver order have been demonstrated to be insufficient, and no other means exist to protect the substantial legal rights of any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obtained the waiver has failed to comply with all of the conditions in the waiver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7.28(19)</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a condition in a waiver order shall be treated as a violation of the particular rule or rule provision for which the waiver was granted. As a result, the recipient of a waiver under this rule who violates a condition of the waiver may be subject to the same remedies or penalties as a person who violates the rule or rule provision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7.28(20)</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 xml:space="preserve">After an order granting a waiver is issued, the order shall constitute a defense, within the terms and the specific facts indicated therein, for the person to whom the order pertains in any proceeding in which the rule in question is sought to be invoked, unless subrules </w:t>
      </w:r>
      <w:hyperlink r:id="rId15">
        <w:r>
          <w:rPr>
            <w:rStyle w:val="Hyperlink"/>
            <w:rFonts w:ascii="Times New Roman" w:hAnsi="Times New Roman"/>
            <w:b w:val="false"/>
            <w:i w:val="false"/>
            <w:color w:val="000000"/>
            <w:sz w:val="22"/>
          </w:rPr>
          <w:t>7.28(18)</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7.28(19)</w:t>
        </w:r>
      </w:hyperlink>
      <w:r>
        <w:rPr>
          <w:rFonts w:ascii="Times New Roman" w:hAnsi="Times New Roman"/>
          <w:b w:val="false"/>
          <w:i w:val="false"/>
          <w:color w:val="000000"/>
          <w:sz w:val="22"/>
        </w:rPr>
        <w:t xml:space="preserve">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7.28(21)</w:t>
      </w:r>
      <w:r>
        <w:rPr>
          <w:rFonts w:ascii="Times New Roman" w:hAnsi="Times New Roman"/>
          <w:b w:val="false"/>
          <w:i w:val="false"/>
          <w:color w:val="000000"/>
          <w:sz w:val="22"/>
        </w:rPr>
        <w:t> </w:t>
      </w:r>
      <w:r>
        <w:rPr>
          <w:rFonts w:ascii="Times New Roman" w:hAnsi="Times New Roman"/>
          <w:b w:val="false"/>
          <w:i/>
          <w:color w:val="000000"/>
          <w:sz w:val="22"/>
        </w:rPr>
        <w:t xml:space="preserve">Hearing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from a decision granting or denying a waiver in a contested case proceeding shall be in accordance with the rules governing hearings and appeals from decisions in contested cases. These appeals shall be taken within 30 days of the issuance of the ruling granting or denying the waiver request, unless a different time is provided by rule or statute, such as provided in the area of license revocation (see rule </w:t>
      </w:r>
      <w:hyperlink r:id="rId17">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sections </w:t>
      </w:r>
      <w:hyperlink r:id="rId18">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and rule </w:t>
      </w:r>
      <w:hyperlink r:id="rId19">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 xml:space="preserve">(17A) regarding contested case proceedings shall apply to any petition for waiver of a rule or provisions in a rule filed within a contested case proceeding. A petition for waiver of a provision in a rule outside of a contested case proceeding will not be considered under the statutes or rule </w:t>
      </w:r>
      <w:hyperlink r:id="rId20">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Instead, the director’s decision on the petition for waiver is considered to be “other agency action.”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16.pdf" Type="http://schemas.openxmlformats.org/officeDocument/2006/relationships/hyperlink" Id="rId4"/>
    <Relationship TargetMode="External" Target="https://www.legis.iowa.gov/docs/iac/rule/701.7.28.pdf" Type="http://schemas.openxmlformats.org/officeDocument/2006/relationships/hyperlink" Id="rId5"/>
    <Relationship TargetMode="External" Target="https://www.legis.iowa.gov/docs/iac/rule/701.7.28.pdf" Type="http://schemas.openxmlformats.org/officeDocument/2006/relationships/hyperlink" Id="rId6"/>
    <Relationship TargetMode="External" Target="https://www.legis.iowa.gov/docs/iac/rule/701.7.28.pdf" Type="http://schemas.openxmlformats.org/officeDocument/2006/relationships/hyperlink" Id="rId7"/>
    <Relationship TargetMode="External" Target="http://tax.iowa.gov/forms" Type="http://schemas.openxmlformats.org/officeDocument/2006/relationships/hyperlink" Id="rId8"/>
    <Relationship TargetMode="External" Target="https://www.legis.iowa.gov/docs/iac/rule/701.7.3.pdf" Type="http://schemas.openxmlformats.org/officeDocument/2006/relationships/hyperlink" Id="rId9"/>
    <Relationship TargetMode="External" Target="https://www.legis.iowa.gov/docs/iac/rule/701.7.3.pdf" Type="http://schemas.openxmlformats.org/officeDocument/2006/relationships/hyperlink" Id="rId10"/>
    <Relationship TargetMode="External" Target="https://www.legis.iowa.gov/docs/iac/rule/701.7.3.pdf" Type="http://schemas.openxmlformats.org/officeDocument/2006/relationships/hyperlink" Id="rId11"/>
    <Relationship TargetMode="External" Target="https://www.legis.iowa.gov/docs/iac/rule/701.7.28.pdf" Type="http://schemas.openxmlformats.org/officeDocument/2006/relationships/hyperlink" Id="rId12"/>
    <Relationship TargetMode="External" Target="https://www.legis.iowa.gov/docs/iac/rule/701.7.28.pdf" Type="http://schemas.openxmlformats.org/officeDocument/2006/relationships/hyperlink" Id="rId13"/>
    <Relationship TargetMode="External" Target="https://www.legis.iowa.gov/docs/ico/chapter/17A.9A.pdf" Type="http://schemas.openxmlformats.org/officeDocument/2006/relationships/hyperlink" Id="rId14"/>
    <Relationship TargetMode="External" Target="https://www.legis.iowa.gov/docs/iac/rule/701.7.28.pdf" Type="http://schemas.openxmlformats.org/officeDocument/2006/relationships/hyperlink" Id="rId15"/>
    <Relationship TargetMode="External" Target="https://www.legis.iowa.gov/docs/iac/rule/701.7.28.pdf" Type="http://schemas.openxmlformats.org/officeDocument/2006/relationships/hyperlink" Id="rId16"/>
    <Relationship TargetMode="External" Target="https://www.legis.iowa.gov/docs/iac/rule/701.7.39.pdf" Type="http://schemas.openxmlformats.org/officeDocument/2006/relationships/hyperlink" Id="rId17"/>
    <Relationship TargetMode="External" Target="https://www.legis.iowa.gov/docs/ico/chapter/17A.10-18A.pdf" Type="http://schemas.openxmlformats.org/officeDocument/2006/relationships/hyperlink" Id="rId18"/>
    <Relationship TargetMode="External" Target="https://www.legis.iowa.gov/docs/iac/rule/701.7.19.pdf" Type="http://schemas.openxmlformats.org/officeDocument/2006/relationships/hyperlink" Id="rId19"/>
    <Relationship TargetMode="External" Target="https://www.legis.iowa.gov/docs/iac/rule/701.7.19.pdf" Type="http://schemas.openxmlformats.org/officeDocument/2006/relationships/hyperlink" Id="rId20"/>
    <Relationship TargetMode="External" Target="https://www.legis.iowa.gov/docs/ico/chapter/17A.9A.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