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701—7.24</w:t>
      </w:r>
      <w:r>
        <w:rPr>
          <w:rFonts w:ascii="Times New Roman" w:hAnsi="Times New Roman"/>
          <w:b/>
          <w:i w:val="false"/>
          <w:color w:val="000000"/>
          <w:sz w:val="22"/>
        </w:rPr>
        <w:t xml:space="preserve">(17A) </w:t>
      </w:r>
      <w:r>
        <w:rPr>
          <w:rFonts w:ascii="Times New Roman" w:hAnsi="Times New Roman"/>
          <w:b/>
          <w:i w:val="false"/>
          <w:color w:val="000000"/>
          <w:sz w:val="22"/>
        </w:rPr>
        <w:t xml:space="preserve">Declaratory order—in general. </w:t>
      </w:r>
      <w:r>
        <w:rPr>
          <w:rFonts w:ascii="Times New Roman" w:hAnsi="Times New Roman"/>
          <w:b w:val="false"/>
          <w:i w:val="false"/>
          <w:color w:val="000000"/>
          <w:sz w:val="22"/>
        </w:rPr>
        <w:t>Any oral or written advice or opinion rendered to members of the public by department personnel not pursuant to a petition for declaratory order is not binding upon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w:t>
      </w:r>
      <w:r>
        <w:rPr>
          <w:rFonts w:ascii="Times New Roman" w:hAnsi="Times New Roman"/>
          <w:b w:val="false"/>
          <w:i w:val="false"/>
          <w:color w:val="000000"/>
          <w:sz w:val="22"/>
        </w:rPr>
        <w:t> </w:t>
      </w:r>
      <w:r>
        <w:rPr>
          <w:rFonts w:ascii="Times New Roman" w:hAnsi="Times New Roman"/>
          <w:b w:val="false"/>
          <w:i/>
          <w:color w:val="000000"/>
          <w:sz w:val="22"/>
        </w:rPr>
        <w:t xml:space="preserve">Filing a petition for declaratory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How to submit a petition. </w:t>
      </w:r>
      <w:r>
        <w:rPr>
          <w:rFonts w:ascii="Times New Roman" w:hAnsi="Times New Roman"/>
          <w:b w:val="false"/>
          <w:i w:val="false"/>
          <w:color w:val="000000"/>
          <w:sz w:val="22"/>
        </w:rPr>
        <w:t xml:space="preserve">Any person may file a petition seeking a declaratory order using the methods described in rule </w:t>
      </w:r>
      <w:hyperlink r:id="rId4">
        <w:r>
          <w:rPr>
            <w:rStyle w:val="Hyperlink"/>
            <w:rFonts w:ascii="Times New Roman" w:hAnsi="Times New Roman"/>
            <w:b w:val="false"/>
            <w:i w:val="false"/>
            <w:color w:val="000000"/>
            <w:sz w:val="22"/>
          </w:rPr>
          <w:t>701—7.3</w:t>
        </w:r>
      </w:hyperlink>
      <w:r>
        <w:rPr>
          <w:rFonts w:ascii="Times New Roman" w:hAnsi="Times New Roman"/>
          <w:b w:val="false"/>
          <w:i w:val="false"/>
          <w:color w:val="000000"/>
          <w:sz w:val="22"/>
        </w:rPr>
        <w:t xml:space="preserve">(17A).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When a petition is considered filed. </w:t>
      </w:r>
      <w:r>
        <w:rPr>
          <w:rFonts w:ascii="Times New Roman" w:hAnsi="Times New Roman"/>
          <w:b w:val="false"/>
          <w:i w:val="false"/>
          <w:color w:val="000000"/>
          <w:sz w:val="22"/>
        </w:rPr>
        <w:t xml:space="preserve">A petition is deemed filed when it is received by the department as described in rule </w:t>
      </w:r>
      <w:hyperlink r:id="rId5">
        <w:r>
          <w:rPr>
            <w:rStyle w:val="Hyperlink"/>
            <w:rFonts w:ascii="Times New Roman" w:hAnsi="Times New Roman"/>
            <w:b w:val="false"/>
            <w:i w:val="false"/>
            <w:color w:val="000000"/>
            <w:sz w:val="22"/>
          </w:rPr>
          <w:t>701—7.4</w:t>
        </w:r>
      </w:hyperlink>
      <w:r>
        <w:rPr>
          <w:rFonts w:ascii="Times New Roman" w:hAnsi="Times New Roman"/>
          <w:b w:val="false"/>
          <w:i w:val="false"/>
          <w:color w:val="000000"/>
          <w:sz w:val="22"/>
        </w:rPr>
        <w:t>(17A). The department shall provide the petitioner with a file-stamped copy of the petition if the petitioner provides the department with an extra copy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Department forms. </w:t>
      </w:r>
      <w:r>
        <w:rPr>
          <w:rFonts w:ascii="Times New Roman" w:hAnsi="Times New Roman"/>
          <w:b w:val="false"/>
          <w:i w:val="false"/>
          <w:color w:val="000000"/>
          <w:sz w:val="22"/>
        </w:rPr>
        <w:t xml:space="preserve">Petitioners may use the form provided on GovConnectIowa or the form provided on the department’s website, </w:t>
      </w:r>
      <w:hyperlink r:id="rId6">
        <w:r>
          <w:rPr>
            <w:rStyle w:val="Hyperlink"/>
            <w:rFonts w:ascii="Times New Roman" w:hAnsi="Times New Roman"/>
            <w:b w:val="false"/>
            <w:i w:val="false"/>
            <w:color w:val="000000"/>
            <w:sz w:val="22"/>
            <w:u w:val="single"/>
          </w:rPr>
          <w:t>tax.iowa.gov/forms</w:t>
        </w:r>
      </w:hyperlink>
      <w:r>
        <w:rPr>
          <w:rFonts w:ascii="Times New Roman" w:hAnsi="Times New Roman"/>
          <w:b w:val="false"/>
          <w:i w:val="false"/>
          <w:color w:val="000000"/>
          <w:sz w:val="22"/>
        </w:rPr>
        <w:t>, to submit a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Manually created petitions.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not submitted using the department-provided formats, the petition must be typewritten or legibly handwritten in ink and must substantially conform to the following form:</w:t>
      </w:r>
    </w:p>
    <w:p>
      <w:pPr>
        <w:spacing w:before="60" w:after="0"/>
        <w:ind w:left="120"/>
        <w:jc w:val="center"/>
      </w:pPr>
      <w:r>
        <w:rPr>
          <w:rFonts w:ascii="Times New Roman" w:hAnsi="Times New Roman"/>
          <w:b w:val="false"/>
          <w:i w:val="false"/>
          <w:color w:val="000000"/>
          <w:sz w:val="22"/>
        </w:rPr>
        <w:t>DEPARTMENT OF REVENUE</w:t>
      </w:r>
    </w:p>
    <w:p>
      <w:pPr>
        <w:spacing w:before="60" w:after="0"/>
        <w:ind w:left="120"/>
        <w:jc w:val="left"/>
      </w:pP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Petition by (Name of Petitioner)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PETITION FOR</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for a Declaratory Order on (Cite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DECLARATORY ORDER</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provisions of law involved).</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 ___________________</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petition must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clear and concise statement of all relevant facts on which the order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citation and the relevant language of the specific statutes, rules, policies, decisions, or orders, whose applicability is questioned, and any other relevant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questions the petitioner wants answered, stated clearly and concisely;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answers to the questions desired by the petitioner and a summary of the reasons urged by the petitioner in support of those answers;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reasons for requesting the declaratory order and disclosure of the petitioner’s interest in the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whether the petitioner is currently a party to another proceeding involving the questions at issue and whether, to the petitioner’s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other persons, or a description of any class of persons, known by petitioner to be affected by, or interested in,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Any request by petitioner for a meeting provided for by this rule;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Whether the petitioner is presently under audit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signature of the petitioner or the petitioner’s representative and date of signature. It must also include the name, mailing address, and telephone number of the petitioner and of the petitioner’s representative and a statement indicating the person to whom communications concerning the petition should be directed. Petitions submitted by a representative must have a valid IDR power of attorney form or representative certification form, as applicable in accordance with rule </w:t>
      </w:r>
      <w:hyperlink r:id="rId7">
        <w:r>
          <w:rPr>
            <w:rStyle w:val="Hyperlink"/>
            <w:rFonts w:ascii="Times New Roman" w:hAnsi="Times New Roman"/>
            <w:b w:val="false"/>
            <w:i w:val="false"/>
            <w:color w:val="000000"/>
            <w:sz w:val="22"/>
          </w:rPr>
          <w:t>701—7.6</w:t>
        </w:r>
      </w:hyperlink>
      <w:r>
        <w:rPr>
          <w:rFonts w:ascii="Times New Roman" w:hAnsi="Times New Roman"/>
          <w:b w:val="false"/>
          <w:i w:val="false"/>
          <w:color w:val="000000"/>
          <w:sz w:val="22"/>
        </w:rPr>
        <w:t>(17A),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7.24(2)</w:t>
      </w:r>
      <w:r>
        <w:rPr>
          <w:rFonts w:ascii="Times New Roman" w:hAnsi="Times New Roman"/>
          <w:b w:val="false"/>
          <w:i w:val="false"/>
          <w:color w:val="000000"/>
          <w:sz w:val="22"/>
        </w:rPr>
        <w:t> </w:t>
      </w:r>
      <w:r>
        <w:rPr>
          <w:rFonts w:ascii="Times New Roman" w:hAnsi="Times New Roman"/>
          <w:b w:val="false"/>
          <w:i/>
          <w:color w:val="000000"/>
          <w:sz w:val="22"/>
        </w:rPr>
        <w:t xml:space="preserve">Notice of petition. </w:t>
      </w:r>
      <w:r>
        <w:rPr>
          <w:rFonts w:ascii="Times New Roman" w:hAnsi="Times New Roman"/>
          <w:b w:val="false"/>
          <w:i w:val="false"/>
          <w:color w:val="000000"/>
          <w:sz w:val="22"/>
        </w:rPr>
        <w:t>Within 15 days after receipt of a petition for a declaratory order, the department shall give notice of the petition to all persons not served by the petitioner to whom notice is required by any provision of law. The department may also give notice to any other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7.24(3)</w:t>
      </w:r>
      <w:r>
        <w:rPr>
          <w:rFonts w:ascii="Times New Roman" w:hAnsi="Times New Roman"/>
          <w:b w:val="false"/>
          <w:i w:val="false"/>
          <w:color w:val="000000"/>
          <w:sz w:val="22"/>
        </w:rPr>
        <w:t> </w:t>
      </w:r>
      <w:r>
        <w:rPr>
          <w:rFonts w:ascii="Times New Roman" w:hAnsi="Times New Roman"/>
          <w:b w:val="false"/>
          <w:i/>
          <w:color w:val="000000"/>
          <w:sz w:val="22"/>
        </w:rPr>
        <w:t xml:space="preserve">Intervention.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Nondiscretionary intervention. </w:t>
      </w:r>
      <w:r>
        <w:rPr>
          <w:rFonts w:ascii="Times New Roman" w:hAnsi="Times New Roman"/>
          <w:b w:val="false"/>
          <w:i w:val="false"/>
          <w:color w:val="000000"/>
          <w:sz w:val="22"/>
        </w:rPr>
        <w:t>Persons who qualify under any applicable provision of law as an intervenor and who file a petition for intervention within 20 days of the filing of a petition for declaratory order, shall be allowed to intervene in a proceeding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Discretionary intervention. </w:t>
      </w:r>
      <w:r>
        <w:rPr>
          <w:rFonts w:ascii="Times New Roman" w:hAnsi="Times New Roman"/>
          <w:b w:val="false"/>
          <w:i w:val="false"/>
          <w:color w:val="000000"/>
          <w:sz w:val="22"/>
        </w:rPr>
        <w:t>Any person who files a petition for intervention at any time prior to the issuance of an order may be allowed to intervene in a proceeding for a declaratory order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Filing and form of petition for intervention. </w:t>
      </w:r>
      <w:r>
        <w:rPr>
          <w:rFonts w:ascii="Times New Roman" w:hAnsi="Times New Roman"/>
          <w:b w:val="false"/>
          <w:i w:val="false"/>
          <w:color w:val="000000"/>
          <w:sz w:val="22"/>
        </w:rPr>
        <w:t xml:space="preserve">A petition for intervention shall be filed in accordance with </w:t>
      </w:r>
      <w:hyperlink r:id="rId8">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“b,”</w:t>
      </w:r>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xml:space="preserve">. Such a petition is deemed filed when it is received in accordance with rule </w:t>
      </w:r>
      <w:hyperlink r:id="rId9">
        <w:r>
          <w:rPr>
            <w:rStyle w:val="Hyperlink"/>
            <w:rFonts w:ascii="Times New Roman" w:hAnsi="Times New Roman"/>
            <w:b w:val="false"/>
            <w:i w:val="false"/>
            <w:color w:val="000000"/>
            <w:sz w:val="22"/>
          </w:rPr>
          <w:t>701—7.4</w:t>
        </w:r>
      </w:hyperlink>
      <w:r>
        <w:rPr>
          <w:rFonts w:ascii="Times New Roman" w:hAnsi="Times New Roman"/>
          <w:b w:val="false"/>
          <w:i w:val="false"/>
          <w:color w:val="000000"/>
          <w:sz w:val="22"/>
        </w:rPr>
        <w:t>(17A). The department will provide the petitioner with a file-stamped copy of the petition for intervention if the petitioner provides an extra copy for this purpose. A petition for intervention must be typewritten or legibly handwritten in ink and must substantially conform to the following form:</w:t>
      </w:r>
    </w:p>
    <w:p>
      <w:pPr>
        <w:spacing w:before="60" w:after="0"/>
        <w:ind w:left="120"/>
        <w:jc w:val="center"/>
      </w:pPr>
      <w:r>
        <w:rPr>
          <w:rFonts w:ascii="Times New Roman" w:hAnsi="Times New Roman"/>
          <w:b w:val="false"/>
          <w:i w:val="false"/>
          <w:color w:val="000000"/>
          <w:sz w:val="22"/>
        </w:rPr>
        <w:t>DEPARTMENT OF REVENUE</w:t>
      </w:r>
    </w:p>
    <w:p>
      <w:pPr>
        <w:spacing w:before="60" w:after="0"/>
        <w:ind w:left="120"/>
        <w:jc w:val="left"/>
      </w:pPr>
    </w:p>
    <w:tbl>
      <w:tblPr>
        <w:tblW w:w="5000" w:type="pct"/>
        <w:tblCellSpacing w:w="0" w:type="auto"/>
        <w:tblBorders>
          <w:top w:val="single" w:color="000000" w:sz="8"/>
          <w:left w:val="none"/>
          <w:bottom w:val="single" w:color="000000" w:sz="8"/>
          <w:right w:val="none"/>
          <w:insideH w:val="none"/>
          <w:insideV w:val="none"/>
        </w:tblBorders>
        <w:tblLayout w:type="fixed"/>
      </w:tblPr>
      <w:tblGrid>
        <w:gridCol w:w="5138"/>
        <w:gridCol w:w="914"/>
        <w:gridCol w:w="5138"/>
      </w:tblGrid>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Petition by (Name of Original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PETITION FOR</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Petitioner) for a Declaratory Order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INTERVENTION</w:t>
            </w:r>
          </w:p>
        </w:tc>
      </w:tr>
      <w:tr>
        <w:trPr>
          <w:trHeight w:val="210"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on (Cite provisions of law cited in </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Docket No. ___________________</w:t>
            </w:r>
          </w:p>
        </w:tc>
      </w:tr>
      <w:tr>
        <w:trPr>
          <w:trHeight w:val="225" w:hRule="atLeast"/>
        </w:trPr>
        <w:tc>
          <w:tcPr>
            <w:tcW w:w="513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original Petition).</w:t>
            </w:r>
          </w:p>
        </w:tc>
        <w:tc>
          <w:tcPr>
            <w:tcW w:w="91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w:t>
            </w:r>
          </w:p>
        </w:tc>
        <w:tc>
          <w:tcPr>
            <w:tcW w:w="513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petition for intervention must provide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Facts supporting the intervenor’s standing and qualifications for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answers urged by the intervenor to the question or questions presented and a summary of the reasons urged in support of those answers;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Reasons for requesting intervention and disclosure of the intervenor’s interest in the outcome;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whether the intervenor is currently a party to any proceeding involving the questions at issue and whether, to the intervenor’s knowledge, those questions have been decided by, are pending determination by, or are under investigation by, any governmental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names and addresses of any additional persons, or a description of any additional class of persons, known by the intervenor to be affected by, or interested in, the questions presented;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Whether the intervenor consents to be bound by the determination of the matters presented in the declaratory order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Whether the intervenor is presently under audit by the department;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Consent of the intervenor to be bound by the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petition must be dated and signed by the intervenor or the intervenor’s representative. It must also include the name, mailing address, and telephone number of the intervenor and of the intervenor’s representative and a statement indicating the person to whom communications should be directed. Petitions for intervention submitted by a representative must have a valid IDR power of attorney form or representative certification form, as applicable in accordance with rule </w:t>
      </w:r>
      <w:hyperlink r:id="rId10">
        <w:r>
          <w:rPr>
            <w:rStyle w:val="Hyperlink"/>
            <w:rFonts w:ascii="Times New Roman" w:hAnsi="Times New Roman"/>
            <w:b w:val="false"/>
            <w:i w:val="false"/>
            <w:color w:val="000000"/>
            <w:sz w:val="22"/>
          </w:rPr>
          <w:t>701—7.6</w:t>
        </w:r>
      </w:hyperlink>
      <w:r>
        <w:rPr>
          <w:rFonts w:ascii="Times New Roman" w:hAnsi="Times New Roman"/>
          <w:b w:val="false"/>
          <w:i w:val="false"/>
          <w:color w:val="000000"/>
          <w:sz w:val="22"/>
        </w:rPr>
        <w:t>(17A), on file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Standing. </w:t>
      </w:r>
      <w:r>
        <w:rPr>
          <w:rFonts w:ascii="Times New Roman" w:hAnsi="Times New Roman"/>
          <w:b w:val="false"/>
          <w:i w:val="false"/>
          <w:color w:val="000000"/>
          <w:sz w:val="22"/>
        </w:rPr>
        <w:t>For a petition for intervention to be allowed, the petitioner must have consented to be bound by the declaratory order and the petitioner must have standing regarding the issues raised in the petition for declaratory order. Facts described in the petition for intervention must be those supporting intervention, not related to the substantive issues in the petition. The petition for intervention must not correct facts that are in the petition for declaratory order or raise any additional facts. To have standing, the intervenor must have a legally protectible and tangible interest at stake in the petition for declaratory order under consideration by the director for which the party wishes to petition to intervene. The department may, by rule, impose a requirement of standing upon those that seek a declaratory order at least to the extent of requiring that they be potentially aggrieved or adversely affected by the department action or failure to act. Arthur Earl Bonfield, “The Iowa Administrative Procedure Act: Background, Construction, Applicability, Public Access to Agency Law, The Rule making Process,” 60 Iowa Law Review 731, 812-13 (1975). The department adopts this requirement of standing for those seeking a petition for a declaratory order and those seeking to intervene in a petition for a declaratory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Associations. </w:t>
      </w:r>
      <w:r>
        <w:rPr>
          <w:rFonts w:ascii="Times New Roman" w:hAnsi="Times New Roman"/>
          <w:b w:val="false"/>
          <w:i w:val="false"/>
          <w:color w:val="000000"/>
          <w:sz w:val="22"/>
        </w:rPr>
        <w:t>An association or a representative group is not considered to be an entity qualifying for filing a petition requesting a declaratory order on behalf of all of the association or group members. Each member of an association may not be similarly situated or represented by the factual scenario set forth in such a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Factually distinct matters. </w:t>
      </w:r>
      <w:r>
        <w:rPr>
          <w:rFonts w:ascii="Times New Roman" w:hAnsi="Times New Roman"/>
          <w:b w:val="false"/>
          <w:i w:val="false"/>
          <w:color w:val="000000"/>
          <w:sz w:val="22"/>
        </w:rPr>
        <w:t>If a party seeks to have an issue determined by declaratory order, but the facts are different from those in a petition for declaratory order that is currently under consideration by the director, the interested party should not petition as an intervenor in the petition for declaratory order currently under the director’s consideration. Instead, the party should file a separate petition for a declaratory order, and the petition should include all of the relevant facts. The director may deny a petition for intervention without denying the underlying petition for declaratory order that is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7.24(4)</w:t>
      </w:r>
      <w:r>
        <w:rPr>
          <w:rFonts w:ascii="Times New Roman" w:hAnsi="Times New Roman"/>
          <w:b w:val="false"/>
          <w:i w:val="false"/>
          <w:color w:val="000000"/>
          <w:sz w:val="22"/>
        </w:rPr>
        <w:t> </w:t>
      </w:r>
      <w:r>
        <w:rPr>
          <w:rFonts w:ascii="Times New Roman" w:hAnsi="Times New Roman"/>
          <w:b w:val="false"/>
          <w:i/>
          <w:color w:val="000000"/>
          <w:sz w:val="22"/>
        </w:rPr>
        <w:t xml:space="preserve">Briefs. </w:t>
      </w:r>
      <w:r>
        <w:rPr>
          <w:rFonts w:ascii="Times New Roman" w:hAnsi="Times New Roman"/>
          <w:b w:val="false"/>
          <w:i w:val="false"/>
          <w:color w:val="000000"/>
          <w:sz w:val="22"/>
        </w:rPr>
        <w:t>The petitioner or any intervenor may file a brief in support of the position urged. The department may request a brief from the petitioner, any intervenor, or any other person concerning the questions raised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7.24(5)</w:t>
      </w:r>
      <w:r>
        <w:rPr>
          <w:rFonts w:ascii="Times New Roman" w:hAnsi="Times New Roman"/>
          <w:b w:val="false"/>
          <w:i w:val="false"/>
          <w:color w:val="000000"/>
          <w:sz w:val="22"/>
        </w:rPr>
        <w:t> </w:t>
      </w:r>
      <w:r>
        <w:rPr>
          <w:rFonts w:ascii="Times New Roman" w:hAnsi="Times New Roman"/>
          <w:b w:val="false"/>
          <w:i/>
          <w:color w:val="000000"/>
          <w:sz w:val="22"/>
        </w:rPr>
        <w:t xml:space="preserve">Inquiries. </w:t>
      </w:r>
      <w:r>
        <w:rPr>
          <w:rFonts w:ascii="Times New Roman" w:hAnsi="Times New Roman"/>
          <w:b w:val="false"/>
          <w:i w:val="false"/>
          <w:color w:val="000000"/>
          <w:sz w:val="22"/>
        </w:rPr>
        <w:t xml:space="preserve">Inquiries concerning the status of a declaratory order proceeding may be made to the Legal Services Division, Iowa Department of Revenue, P.O. Box 14457, Des Moines, Iowa 50306-3457; or by email to the address provided in </w:t>
      </w:r>
      <w:hyperlink r:id="rId11">
        <w:r>
          <w:rPr>
            <w:rStyle w:val="Hyperlink"/>
            <w:rFonts w:ascii="Times New Roman" w:hAnsi="Times New Roman"/>
            <w:b w:val="false"/>
            <w:i w:val="false"/>
            <w:color w:val="000000"/>
            <w:sz w:val="22"/>
          </w:rPr>
          <w:t>paragraph 7.3(1)</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7.24(6)</w:t>
      </w:r>
      <w:r>
        <w:rPr>
          <w:rFonts w:ascii="Times New Roman" w:hAnsi="Times New Roman"/>
          <w:b w:val="false"/>
          <w:i w:val="false"/>
          <w:color w:val="000000"/>
          <w:sz w:val="22"/>
        </w:rPr>
        <w:t> </w:t>
      </w:r>
      <w:r>
        <w:rPr>
          <w:rFonts w:ascii="Times New Roman" w:hAnsi="Times New Roman"/>
          <w:b w:val="false"/>
          <w:i/>
          <w:color w:val="000000"/>
          <w:sz w:val="22"/>
        </w:rPr>
        <w:t xml:space="preserve">Service and filing of petitions and other papers.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When service is required. </w:t>
      </w:r>
      <w:r>
        <w:rPr>
          <w:rFonts w:ascii="Times New Roman" w:hAnsi="Times New Roman"/>
          <w:b w:val="false"/>
          <w:i w:val="false"/>
          <w:color w:val="000000"/>
          <w:sz w:val="22"/>
        </w:rPr>
        <w:t>Except where otherwise provided by law, every petition for declaratory order, petition for intervention, brief, or other paper filed in a proceeding for a declaratory order shall be served upon each of the parties of record to the proceeding, and on all other persons identified in the petition for declaratory order or petition for intervention as affected by or interested in the questions presented, simultaneously with its filing. The party filing a document is responsible for service on all parties and other affected or interested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Filing—when required. </w:t>
      </w:r>
      <w:r>
        <w:rPr>
          <w:rFonts w:ascii="Times New Roman" w:hAnsi="Times New Roman"/>
          <w:b w:val="false"/>
          <w:i w:val="false"/>
          <w:color w:val="000000"/>
          <w:sz w:val="22"/>
        </w:rPr>
        <w:t xml:space="preserve">All petitions for declaratory orders, petitions for intervention, briefs, or other papers in a proceeding for a declaratory order shall be filed in the same manner described in </w:t>
      </w:r>
      <w:hyperlink r:id="rId12">
        <w:r>
          <w:rPr>
            <w:rStyle w:val="Hyperlink"/>
            <w:rFonts w:ascii="Times New Roman" w:hAnsi="Times New Roman"/>
            <w:b w:val="false"/>
            <w:i w:val="false"/>
            <w:color w:val="000000"/>
            <w:sz w:val="22"/>
          </w:rPr>
          <w:t>subrule 7.24(1)</w:t>
        </w:r>
      </w:hyperlink>
      <w:r>
        <w:rPr>
          <w:rFonts w:ascii="Times New Roman" w:hAnsi="Times New Roman"/>
          <w:b w:val="false"/>
          <w:i w:val="false"/>
          <w:color w:val="000000"/>
          <w:sz w:val="22"/>
        </w:rPr>
        <w:t>. All petitions, briefs, or other papers that are required to be served upon a party shall be filed simultaneously with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Method of service, time of filing, and proof of mailing. </w:t>
      </w:r>
      <w:r>
        <w:rPr>
          <w:rFonts w:ascii="Times New Roman" w:hAnsi="Times New Roman"/>
          <w:b w:val="false"/>
          <w:i w:val="false"/>
          <w:color w:val="000000"/>
          <w:sz w:val="22"/>
        </w:rPr>
        <w:t xml:space="preserve">Method of service, time of filing, and proof of mailing shall be as provided in rules </w:t>
      </w:r>
      <w:hyperlink r:id="rId13">
        <w:r>
          <w:rPr>
            <w:rStyle w:val="Hyperlink"/>
            <w:rFonts w:ascii="Times New Roman" w:hAnsi="Times New Roman"/>
            <w:b w:val="false"/>
            <w:i w:val="false"/>
            <w:color w:val="000000"/>
            <w:sz w:val="22"/>
          </w:rPr>
          <w:t>701—7.3</w:t>
        </w:r>
      </w:hyperlink>
      <w:r>
        <w:rPr>
          <w:rFonts w:ascii="Times New Roman" w:hAnsi="Times New Roman"/>
          <w:b w:val="false"/>
          <w:i w:val="false"/>
          <w:color w:val="000000"/>
          <w:sz w:val="22"/>
        </w:rPr>
        <w:t xml:space="preserve">(17A) and </w:t>
      </w:r>
      <w:hyperlink r:id="rId14">
        <w:r>
          <w:rPr>
            <w:rStyle w:val="Hyperlink"/>
            <w:rFonts w:ascii="Times New Roman" w:hAnsi="Times New Roman"/>
            <w:b w:val="false"/>
            <w:i w:val="false"/>
            <w:color w:val="000000"/>
            <w:sz w:val="22"/>
          </w:rPr>
          <w:t>701—7.4</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7.24(7)</w:t>
      </w:r>
      <w:r>
        <w:rPr>
          <w:rFonts w:ascii="Times New Roman" w:hAnsi="Times New Roman"/>
          <w:b w:val="false"/>
          <w:i w:val="false"/>
          <w:color w:val="000000"/>
          <w:sz w:val="22"/>
        </w:rPr>
        <w:t> </w:t>
      </w:r>
      <w:r>
        <w:rPr>
          <w:rFonts w:ascii="Times New Roman" w:hAnsi="Times New Roman"/>
          <w:b w:val="false"/>
          <w:i/>
          <w:color w:val="000000"/>
          <w:sz w:val="22"/>
        </w:rPr>
        <w:t xml:space="preserve">Department consideration.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Informal meetings. </w:t>
      </w:r>
      <w:r>
        <w:rPr>
          <w:rFonts w:ascii="Times New Roman" w:hAnsi="Times New Roman"/>
          <w:b w:val="false"/>
          <w:i w:val="false"/>
          <w:color w:val="000000"/>
          <w:sz w:val="22"/>
        </w:rPr>
        <w:t xml:space="preserve">Upon request by petitioner in the petition, the department may schedule a brief and informal meeting between the original petitioner, all intervenors, and the department, a member of the department, or a member of the staff of the department to discuss the questions raised.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Requests for additional information. </w:t>
      </w:r>
      <w:r>
        <w:rPr>
          <w:rFonts w:ascii="Times New Roman" w:hAnsi="Times New Roman"/>
          <w:b w:val="false"/>
          <w:i w:val="false"/>
          <w:color w:val="000000"/>
          <w:sz w:val="22"/>
        </w:rPr>
        <w:t>The department may solicit additional information from the petitioner and establish a time frame for response. The department may also solicit comments or information from any other person on the questions raised. Also, comments or information on the questions raised may be submitted to the department by any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7.24(8)</w:t>
      </w:r>
      <w:r>
        <w:rPr>
          <w:rFonts w:ascii="Times New Roman" w:hAnsi="Times New Roman"/>
          <w:b w:val="false"/>
          <w:i w:val="false"/>
          <w:color w:val="000000"/>
          <w:sz w:val="22"/>
        </w:rPr>
        <w:t> </w:t>
      </w:r>
      <w:r>
        <w:rPr>
          <w:rFonts w:ascii="Times New Roman" w:hAnsi="Times New Roman"/>
          <w:b w:val="false"/>
          <w:i/>
          <w:color w:val="000000"/>
          <w:sz w:val="22"/>
        </w:rPr>
        <w:t xml:space="preserve">Action on petition.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30 days after receipt of a petition for a declaratory order, the director shall take action on the petition. That action may include issuing an order, issuing a refusal, or scheduling the issuance of a decision for a later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date of issuance of an order or of a refusal to issue an order is the date of mailing of the order or refusal or date of delivery if service is by other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7.24(9)</w:t>
      </w:r>
      <w:r>
        <w:rPr>
          <w:rFonts w:ascii="Times New Roman" w:hAnsi="Times New Roman"/>
          <w:b w:val="false"/>
          <w:i w:val="false"/>
          <w:color w:val="000000"/>
          <w:sz w:val="22"/>
        </w:rPr>
        <w:t> </w:t>
      </w:r>
      <w:r>
        <w:rPr>
          <w:rFonts w:ascii="Times New Roman" w:hAnsi="Times New Roman"/>
          <w:b w:val="false"/>
          <w:i/>
          <w:color w:val="000000"/>
          <w:sz w:val="22"/>
        </w:rPr>
        <w:t xml:space="preserve">Refusal to issue order.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Reasons for refusal to issue order. </w:t>
      </w:r>
      <w:r>
        <w:rPr>
          <w:rFonts w:ascii="Times New Roman" w:hAnsi="Times New Roman"/>
          <w:b w:val="false"/>
          <w:i w:val="false"/>
          <w:color w:val="000000"/>
          <w:sz w:val="22"/>
        </w:rPr>
        <w:t xml:space="preserve">The department shall not issue a declaratory order where prohibited by Iowa Code section </w:t>
      </w:r>
      <w:hyperlink r:id="rId15">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xml:space="preserve"> and may refuse to issue a declaratory order on some or all questions raised for any of the following reasons: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petition does not substantially comply with the required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petition does not contain facts sufficient to demonstrate that the petitioner will be aggrieved or adversely affected by the failure of the department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does not have jurisdiction over the questions presented in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are also presented in a current rule making, contested case, or other department or judicial proceeding that may definitively resolve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questions presented by the petition would more properly be resolved in a different type of proceeding or by another body with jurisdiction over the matter;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facts or questions presented in the petition are unclear, overbroad, insufficient, or otherwise inappropriate as a basis upon which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There is no need to issue an order because the questions raised in the petition have been settled due to a change in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petition is not based upon facts calculated to aid in the planning of future conduct but is, instead, based solely upon prior conduct, in an effort to establish the effect of that conduct or to challenge a department decision already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petition requests a declaratory order that would necessarily determine the legal rights, duties, or responsibilities of other persons who have not joined in the petition, intervened separately, or filed a similar petition and whose position on the questions presented may fairly be presumed to be adverse to that of petitioner;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petitioner requests the department to determine whether a statute is unconstitutional on its face;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petition requests a declaratory order on an issue presently under investigation or audit or in rule-making proceedings or in litigation in a contested case or court proceedings;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petition requests a declaratory order on an issue that would substantially prejudice the rights of a person who would be a necessary party and who does not consent in writing to the determination of the matter by a declaratory order proceeding.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Action on refusal. </w:t>
      </w:r>
      <w:r>
        <w:rPr>
          <w:rFonts w:ascii="Times New Roman" w:hAnsi="Times New Roman"/>
          <w:b w:val="false"/>
          <w:i w:val="false"/>
          <w:color w:val="000000"/>
          <w:sz w:val="22"/>
        </w:rPr>
        <w:t>A refusal to issue a declaratory order must indicate the specific grounds for the refusal and constitutes final department action on the petition.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Filing of new petition. </w:t>
      </w:r>
      <w:r>
        <w:rPr>
          <w:rFonts w:ascii="Times New Roman" w:hAnsi="Times New Roman"/>
          <w:b w:val="false"/>
          <w:i w:val="false"/>
          <w:color w:val="000000"/>
          <w:sz w:val="22"/>
        </w:rPr>
        <w:t>Refusal to issue a declaratory order pursuant to this rule does not preclude the filing of a new petition that seeks to eliminate the grounds for the department’s refusal to issue an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7.24(10)</w:t>
      </w:r>
      <w:r>
        <w:rPr>
          <w:rFonts w:ascii="Times New Roman" w:hAnsi="Times New Roman"/>
          <w:b w:val="false"/>
          <w:i w:val="false"/>
          <w:color w:val="000000"/>
          <w:sz w:val="22"/>
        </w:rPr>
        <w:t> </w:t>
      </w:r>
      <w:r>
        <w:rPr>
          <w:rFonts w:ascii="Times New Roman" w:hAnsi="Times New Roman"/>
          <w:b w:val="false"/>
          <w:i/>
          <w:color w:val="000000"/>
          <w:sz w:val="22"/>
        </w:rPr>
        <w:t xml:space="preserve">Contents of declaratory order, refusal; effective date.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addition to the ruling itself, a declaratory order or refusal must contain the date of its issuance, the name of petitioner and all intervenors, the specific statutes, rules, policies, decisions, or orders involved, the particular facts upon which it is based, and the reasons for its conclusion.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declaratory order is effective on 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7.24(11)</w:t>
      </w:r>
      <w:r>
        <w:rPr>
          <w:rFonts w:ascii="Times New Roman" w:hAnsi="Times New Roman"/>
          <w:b w:val="false"/>
          <w:i w:val="false"/>
          <w:color w:val="000000"/>
          <w:sz w:val="22"/>
        </w:rPr>
        <w:t> </w:t>
      </w:r>
      <w:r>
        <w:rPr>
          <w:rFonts w:ascii="Times New Roman" w:hAnsi="Times New Roman"/>
          <w:b w:val="false"/>
          <w:i/>
          <w:color w:val="000000"/>
          <w:sz w:val="22"/>
        </w:rPr>
        <w:t xml:space="preserve">Copies of orders. </w:t>
      </w:r>
      <w:r>
        <w:rPr>
          <w:rFonts w:ascii="Times New Roman" w:hAnsi="Times New Roman"/>
          <w:b w:val="false"/>
          <w:i w:val="false"/>
          <w:color w:val="000000"/>
          <w:sz w:val="22"/>
        </w:rPr>
        <w:t xml:space="preserve">A copy of all orders issued in response to a petition for a declaratory order shall be delivered promptly to the original petitioner and all intervenors or otherwise served in accordance with rule </w:t>
      </w:r>
      <w:hyperlink r:id="rId16">
        <w:r>
          <w:rPr>
            <w:rStyle w:val="Hyperlink"/>
            <w:rFonts w:ascii="Times New Roman" w:hAnsi="Times New Roman"/>
            <w:b w:val="false"/>
            <w:i w:val="false"/>
            <w:color w:val="000000"/>
            <w:sz w:val="22"/>
          </w:rPr>
          <w:t>701—7.3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7.24(12)</w:t>
      </w:r>
      <w:r>
        <w:rPr>
          <w:rFonts w:ascii="Times New Roman" w:hAnsi="Times New Roman"/>
          <w:b w:val="false"/>
          <w:i w:val="false"/>
          <w:color w:val="000000"/>
          <w:sz w:val="22"/>
        </w:rPr>
        <w:t> </w:t>
      </w:r>
      <w:r>
        <w:rPr>
          <w:rFonts w:ascii="Times New Roman" w:hAnsi="Times New Roman"/>
          <w:b w:val="false"/>
          <w:i/>
          <w:color w:val="000000"/>
          <w:sz w:val="22"/>
        </w:rPr>
        <w:t xml:space="preserve">Effect of a declaratory order. </w:t>
      </w:r>
      <w:r>
        <w:rPr>
          <w:rFonts w:ascii="Times New Roman" w:hAnsi="Times New Roman"/>
          <w:b w:val="false"/>
          <w:i w:val="false"/>
          <w:color w:val="000000"/>
          <w:sz w:val="22"/>
        </w:rPr>
        <w:t>A declaratory order has the same status and binding effect as a final order issued in a contested case proceeding. A declaratory order is binding on the department, the petitioner, and any intervenors. As to all other persons, a declaratory order serves only as precedent and is not binding on the department. The issuance of a declaratory order constitutes final department action on the petition. A declaratory order, once issued, will not be withdrawn at the request of the petitioner.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7.24(13)</w:t>
      </w:r>
      <w:r>
        <w:rPr>
          <w:rFonts w:ascii="Times New Roman" w:hAnsi="Times New Roman"/>
          <w:b w:val="false"/>
          <w:i w:val="false"/>
          <w:color w:val="000000"/>
          <w:sz w:val="22"/>
        </w:rPr>
        <w:t> </w:t>
      </w:r>
      <w:r>
        <w:rPr>
          <w:rFonts w:ascii="Times New Roman" w:hAnsi="Times New Roman"/>
          <w:b w:val="false"/>
          <w:i/>
          <w:color w:val="000000"/>
          <w:sz w:val="22"/>
        </w:rPr>
        <w:t xml:space="preserve">Withdrawal of the petition. </w:t>
      </w:r>
      <w:r>
        <w:rPr>
          <w:rFonts w:ascii="Times New Roman" w:hAnsi="Times New Roman"/>
          <w:b w:val="false"/>
          <w:i w:val="false"/>
          <w:color w:val="000000"/>
          <w:sz w:val="22"/>
        </w:rPr>
        <w:t>The petitioner may voluntarily dismiss its petition by notifying the department in writing at any time before the order is issued. The petitioner may not dismiss the petition after the order is issued.</w:t>
      </w:r>
    </w:p>
    <w:p>
      <w:pPr>
        <w:spacing w:before="0" w:after="0"/>
        <w:ind w:left="120"/>
        <w:jc w:val="left"/>
      </w:pPr>
      <w:r>
        <w:rPr>
          <w:rFonts w:ascii="Times New Roman" w:hAnsi="Times New Roman"/>
          <w:b w:val="false"/>
          <w:i w:val="false"/>
          <w:color w:val="000000"/>
          <w:sz w:val="22"/>
        </w:rPr>
        <w:t xml:space="preserve">This rule is intended to implement Iowa Code section </w:t>
      </w:r>
      <w:hyperlink r:id="rId17">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Editorial change: IAC Supplement 9/23/20; </w:t>
      </w:r>
      <w:r>
        <w:rPr>
          <w:rFonts w:ascii="Times New Roman" w:hAnsi="Times New Roman"/>
          <w:b/>
          <w:i w:val="false"/>
          <w:color w:val="000000"/>
          <w:sz w:val="16"/>
        </w:rPr>
        <w:t>ARC 5940C</w:t>
      </w:r>
      <w:r>
        <w:rPr>
          <w:rFonts w:ascii="Times New Roman" w:hAnsi="Times New Roman"/>
          <w:b w:val="false"/>
          <w:i w:val="false"/>
          <w:color w:val="000000"/>
          <w:sz w:val="16"/>
        </w:rPr>
        <w:t>, IAB 10/6/21, effective 11/10/21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701.7.3.pdf" Type="http://schemas.openxmlformats.org/officeDocument/2006/relationships/hyperlink" Id="rId4"/>
    <Relationship TargetMode="External" Target="https://www.legis.iowa.gov/docs/iac/rule/701.7.4.pdf" Type="http://schemas.openxmlformats.org/officeDocument/2006/relationships/hyperlink" Id="rId5"/>
    <Relationship TargetMode="External" Target="http://tax.iowa.gov/forms" Type="http://schemas.openxmlformats.org/officeDocument/2006/relationships/hyperlink" Id="rId6"/>
    <Relationship TargetMode="External" Target="https://www.legis.iowa.gov/docs/iac/rule/701.7.6.pdf" Type="http://schemas.openxmlformats.org/officeDocument/2006/relationships/hyperlink" Id="rId7"/>
    <Relationship TargetMode="External" Target="https://www.legis.iowa.gov/docs/iac/rule/701.7.3.pdf" Type="http://schemas.openxmlformats.org/officeDocument/2006/relationships/hyperlink" Id="rId8"/>
    <Relationship TargetMode="External" Target="https://www.legis.iowa.gov/docs/iac/rule/701.7.4.pdf" Type="http://schemas.openxmlformats.org/officeDocument/2006/relationships/hyperlink" Id="rId9"/>
    <Relationship TargetMode="External" Target="https://www.legis.iowa.gov/docs/iac/rule/701.7.6.pdf" Type="http://schemas.openxmlformats.org/officeDocument/2006/relationships/hyperlink" Id="rId10"/>
    <Relationship TargetMode="External" Target="https://www.legis.iowa.gov/docs/iac/rule/701.7.3.pdf" Type="http://schemas.openxmlformats.org/officeDocument/2006/relationships/hyperlink" Id="rId11"/>
    <Relationship TargetMode="External" Target="https://www.legis.iowa.gov/docs/iac/rule/701.7.24.pdf" Type="http://schemas.openxmlformats.org/officeDocument/2006/relationships/hyperlink" Id="rId12"/>
    <Relationship TargetMode="External" Target="https://www.legis.iowa.gov/docs/iac/rule/701.7.3.pdf" Type="http://schemas.openxmlformats.org/officeDocument/2006/relationships/hyperlink" Id="rId13"/>
    <Relationship TargetMode="External" Target="https://www.legis.iowa.gov/docs/iac/rule/701.7.4.pdf" Type="http://schemas.openxmlformats.org/officeDocument/2006/relationships/hyperlink" Id="rId14"/>
    <Relationship TargetMode="External" Target="https://www.legis.iowa.gov/docs/ico/chapter/17A.9.pdf" Type="http://schemas.openxmlformats.org/officeDocument/2006/relationships/hyperlink" Id="rId15"/>
    <Relationship TargetMode="External" Target="https://www.legis.iowa.gov/docs/iac/rule/701.7.3.pdf" Type="http://schemas.openxmlformats.org/officeDocument/2006/relationships/hyperlink" Id="rId16"/>
    <Relationship TargetMode="External" Target="https://www.legis.iowa.gov/docs/ico/chapter/17A.9.pdf" Type="http://schemas.openxmlformats.org/officeDocument/2006/relationships/hyperlink" Id="rId1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