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communications and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A party that has knowledge of a prohibited communication by any party or presiding officer should file a copy of the written prohibited communication or a written summary of the prohibited oral communication with the clerk. The clerk will transfer to the presiding officer the filed copy of the prohibited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department or seeking the advice or help of persons other than those with a personal interest in, or those engaged in personally investigating as defined in this rule,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defined.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How to avoid prohibited communications.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in compliance with this chapter and may be supplemented by telephone, facsimile, electronic mail, or other means of notification. Where permitted, oral communications may be initiated through conference telephone calls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Joint presiding officers.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Advice to presiding officer. </w:t>
      </w:r>
      <w:r>
        <w:rPr>
          <w:rFonts w:ascii="Times New Roman" w:hAnsi="Times New Roman"/>
          <w:b w:val="false"/>
          <w:i w:val="false"/>
          <w:color w:val="000000"/>
          <w:sz w:val="22"/>
        </w:rPr>
        <w:t>Persons may be present in deliberations or otherwise advise the presiding officer without notice or opportunity for parties to participate as long as the parties are not disqualified from participating in the making of a proposed or final decision under any provision of law and the parties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Procedural communications.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Disclosure by presiding officer. </w:t>
      </w:r>
      <w:r>
        <w:rPr>
          <w:rFonts w:ascii="Times New Roman" w:hAnsi="Times New Roman"/>
          <w:b w:val="false"/>
          <w:i w:val="false"/>
          <w:color w:val="000000"/>
          <w:sz w:val="22"/>
        </w:rPr>
        <w:t xml:space="preserve">Promptly after receiving the communication or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4">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Sanction.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suspension, or revocation of the privilege to practice before the department or the administrative hearings division. Violation of ex parte communication prohibitions by department personnel or their representatives shall be reported to the clerk for possible sanctions including censure, suspension, dismissal, or other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a presiding officer. </w:t>
      </w:r>
      <w:r>
        <w:rPr>
          <w:rFonts w:ascii="Times New Roman" w:hAnsi="Times New Roman"/>
          <w:b w:val="false"/>
          <w:i w:val="false"/>
          <w:color w:val="000000"/>
          <w:sz w:val="22"/>
        </w:rPr>
        <w:t>Request for disqualification of a presiding officer must be filed in the form of a motion supported by an affidavit asserting an appropriate ground for disqualification. A substitute presiding officer may be appointed by the division of administrative hearings if the disqualified presiding officer is an administrative law judge. If the disqualified presiding officer is the director, the governor must appoint a substitute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disqualification.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party to the case or an officer, director, or trustee of a party to the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 xml:space="preserve">“Personally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department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and the record.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Motion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the party shall file a motion supported by an affidavit pursuant to Iowa Code section </w:t>
      </w:r>
      <w:hyperlink r:id="rId6">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and seek a stay as provided under this chapter.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co/chapter/17A.17.pdf" Type="http://schemas.openxmlformats.org/officeDocument/2006/relationships/hyperlink" Id="rId5"/>
    <Relationship TargetMode="External" Target="https://www.legis.iowa.gov/docs/ico/chapter/17A.17.pdf" Type="http://schemas.openxmlformats.org/officeDocument/2006/relationships/hyperlink" Id="rId6"/>
    <Relationship TargetMode="External" Target="https://www.legis.iowa.gov/docs/ico/chapter/17A.1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