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701—7.22</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 for rehearing. </w:t>
      </w:r>
      <w:r>
        <w:rPr>
          <w:rFonts w:ascii="Times New Roman" w:hAnsi="Times New Roman"/>
          <w:b w:val="false"/>
          <w:i w:val="false"/>
          <w:color w:val="000000"/>
          <w:sz w:val="22"/>
        </w:rPr>
        <w:t xml:space="preserve">Any party to a contested case may file an application with the director for a rehearing in the contested case, stating the specific grounds therefor and the relief sought. The application must be filed within 20 days after the final order is issued. See subrule </w:t>
      </w:r>
      <w:hyperlink r:id="rId4">
        <w:r>
          <w:rPr>
            <w:rStyle w:val="Hyperlink"/>
            <w:rFonts w:ascii="Times New Roman" w:hAnsi="Times New Roman"/>
            <w:b w:val="false"/>
            <w:i w:val="false"/>
            <w:color w:val="000000"/>
            <w:sz w:val="22"/>
          </w:rPr>
          <w:t>7.19(8)</w:t>
        </w:r>
      </w:hyperlink>
      <w:r>
        <w:rPr>
          <w:rFonts w:ascii="Times New Roman" w:hAnsi="Times New Roman"/>
          <w:b w:val="false"/>
          <w:i w:val="false"/>
          <w:color w:val="000000"/>
          <w:sz w:val="22"/>
        </w:rPr>
        <w:t xml:space="preserve"> as to when a proposed order becomes a final order. A copy of such application shall be timely mailed by the applicant to all parties in conformity with rule </w:t>
      </w:r>
      <w:hyperlink r:id="rId5">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 The director shall have 20 days from the filing of the application for rehearing to grant or deny the application. If the application for rehearing is granted, a notice will be served on the parties stating the time and place of the rehearing. An application for rehearing shall be deemed denied if not granted by the director within 20 days after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vMerge w:val="restart"/>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(state taxpayer’s name and address and designate type of proceeding, e.g., 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APPLICATION FOR REHEARING</w:t>
            </w:r>
          </w:p>
        </w:tc>
      </w:tr>
      <w:tr>
        <w:trPr>
          <w:trHeight w:val="210" w:hRule="atLeast"/>
        </w:trPr>
        <w:tc>
          <w:tcPr>
            <w:tcW w:w="0" w:type="auto"/>
            <w:vMerge/>
            <w:tcBorders>
              <w:top w:val="nil"/>
            </w:tcBorders>
          </w:tcPr>
          <w:p/>
        </w:tc>
        <w:tc>
          <w:tcPr>
            <w:tcW w:w="91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the reasons for requesting a rehearing and each and every error which the party alleges to have been committed during the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all relevant facts upon which the party relies;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the party or that of the party’s representative, the address of the party or of the party’s representative, and the telephone number of the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val="false"/>
          <w:color w:val="000000"/>
          <w:sz w:val="22"/>
        </w:rPr>
        <w:t>No applications for rehearing shall be filed with or entertained by an administrative law judge.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19.pdf" Type="http://schemas.openxmlformats.org/officeDocument/2006/relationships/hyperlink" Id="rId4"/>
    <Relationship TargetMode="External" Target="https://www.legis.iowa.gov/docs/iac/rule/701.7.3.pdf" Type="http://schemas.openxmlformats.org/officeDocument/2006/relationships/hyperlink" Id="rId5"/>
    <Relationship TargetMode="External" Target="https://www.legis.iowa.gov/docs/ico/chapter/17A.1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