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701—7.17</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r>
        <w:rPr>
          <w:rFonts w:ascii="Times New Roman" w:hAnsi="Times New Roman"/>
          <w:b w:val="false"/>
          <w:i w:val="false"/>
          <w:color w:val="000000"/>
          <w:sz w:val="22"/>
        </w:rPr>
        <w:t>The rules of the supreme court of the state of Iowa applicable in civil proceedings with respect to depositions upon oral examination or written questions; written interrogatories; production of documents or things or permission to enter upon land or other property, for inspection and other purposes; physical and mental examinations; and requests for admission shall apply to discovery procedures in contested case proceedings. Disputes concerning discovery shall be resolved by the presiding officer. If necessary a hearing shall be scheduled, with reasonable notice to the parties, and, upon hearing, an appropriate order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When the department relies on a witness in a contested case, whether or not the witness is a departmental employee, who has made prior statements or reports with respect to the subject matter of the witness’ testimony, the department shall, on request, make such statements or reports available to a party for use on cross-examination unless those statements or reports are otherwise expressly exempt from disclosure by constitution or statute. Identifiable department records that are relevant to disputed material facts involved in a contested case shall, upon request, promptly be made available to the party unless the requested records are expressly exempt from disclosure by constitution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Evidence obtained in such discovery may be used in contested case proceedings if that evidence would otherwise be admissible in the contested case proceeding.</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