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shall have the authority to subpoena books, papers, and records and shall have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left"/>
      </w:pPr>
      <w:r>
        <w:rPr>
          <w:rFonts w:ascii="Times New Roman" w:hAnsi="Times New Roman"/>
          <w:b w:val="false"/>
          <w:i w:val="false"/>
          <w:color w:val="000000"/>
          <w:sz w:val="22"/>
        </w:rPr>
        <w:t>This rule is intended to implement Iowa Code sections </w:t>
      </w:r>
      <w:hyperlink r:id="rId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 TargetMode="External" Target="https://www.legis.iowa.gov/docs/ico/chapter/421.9.pdf" Type="http://schemas.openxmlformats.org/officeDocument/2006/relationships/hyperlink" Id="rId5"/>
    <Relationship TargetMode="External" Target="https://www.legis.iowa.gov/docs/ico/chapter/421.17.pdf" Type="http://schemas.openxmlformats.org/officeDocument/2006/relationships/hyperlink" Id="rId6"/>
    <Relationship TargetMode="External" Target="https://www.legis.iowa.gov/docs/ico/chapter/422.7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