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Informal stage of the appeals process.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4">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(17A,421), the taxpayer demands a contested case proceeding or an expedited hearing is agreed to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Appeals section review. </w:t>
      </w:r>
      <w:r>
        <w:rPr>
          <w:rFonts w:ascii="Times New Roman" w:hAnsi="Times New Roman"/>
          <w:b w:val="false"/>
          <w:i w:val="false"/>
          <w:color w:val="000000"/>
          <w:sz w:val="22"/>
        </w:rPr>
        <w:t>After an appeal is filed, the review unit, subject to the control of the director or the division administrator of the legal services and appeals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and deletions to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5">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which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 xml:space="preserve">A position letter addressing the issues raised in the appeal may be issued to the taxpayer or taxpayer’s representative unless the issues may be more expeditiously determined in another manner or it is determined that such a letter is unnecessary.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Settlement proposals may be submitted to the department employee assigned to the appeal or through GovConnectIowa using the manage appeal feature. Only the director, the deputy director, or the division administrator of the legal services and appeals division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3.pdf" Type="http://schemas.openxmlformats.org/officeDocument/2006/relationships/hyperlink" Id="rId4"/>
    <Relationship TargetMode="External" Target="https://www.legis.iowa.gov/docs/iac/rule/701.7.9.pdf" Type="http://schemas.openxmlformats.org/officeDocument/2006/relationships/hyperlink" Id="rId5"/>
    <Relationship TargetMode="External" Target="https://www.legis.iowa.gov/docs/ico/chapter/17A.10.pdf" Type="http://schemas.openxmlformats.org/officeDocument/2006/relationships/hyperlink" Id="rId6"/>
    <Relationship TargetMode="External" Target="https://www.legis.iowa.gov/docs/ico/chapter/42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