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701—7.1</w:t>
      </w:r>
      <w:r>
        <w:rPr>
          <w:rFonts w:ascii="Times New Roman" w:hAnsi="Times New Roman"/>
          <w:b/>
          <w:i w:val="false"/>
          <w:color w:val="000000"/>
          <w:sz w:val="22"/>
        </w:rPr>
        <w:t xml:space="preserve">(421,17A) </w:t>
      </w:r>
      <w:r>
        <w:rPr>
          <w:rFonts w:ascii="Times New Roman" w:hAnsi="Times New Roman"/>
          <w:b/>
          <w:i w:val="false"/>
          <w:color w:val="000000"/>
          <w:sz w:val="22"/>
        </w:rPr>
        <w:t xml:space="preserve">Applicability and scope of rules. </w:t>
      </w:r>
      <w:r>
        <w:rPr>
          <w:rFonts w:ascii="Times New Roman" w:hAnsi="Times New Roman"/>
          <w:b w:val="false"/>
          <w:i w:val="false"/>
          <w:color w:val="000000"/>
          <w:sz w:val="22"/>
        </w:rPr>
        <w:t>These rules are designed to implement the requirements of the Iowa administrative procedure Act and aid in the effective and efficient administration and enforcement of the tax laws of this state and other activities of the department. These rules shall govern the practice, procedure, and conduct of the informal proceedings, contested case proceedings, licensing, rule making, requests for waiver of rules, and declaratory orders involving taxation and other areas within the department’s jurisdiction. The rules in this chapter apply to all informal proceedings, contested case proceedings, licensing, rule making, requests for waiver of rules, and declaratory orders pending or commenced on or after their effective date.</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1545C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