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701—6.5</w:t>
      </w:r>
      <w:r>
        <w:rPr>
          <w:rFonts w:ascii="Times New Roman" w:hAnsi="Times New Roman"/>
          <w:b/>
          <w:i w:val="false"/>
          <w:color w:val="000000"/>
          <w:sz w:val="22"/>
        </w:rPr>
        <w:t xml:space="preserve">(17A) </w:t>
      </w:r>
      <w:r>
        <w:rPr>
          <w:rFonts w:ascii="Times New Roman" w:hAnsi="Times New Roman"/>
          <w:b/>
          <w:i w:val="false"/>
          <w:color w:val="000000"/>
          <w:sz w:val="22"/>
        </w:rPr>
        <w:t xml:space="preserve">Organization of the department. </w:t>
      </w:r>
      <w:r>
        <w:rPr>
          <w:rFonts w:ascii="Times New Roman" w:hAnsi="Times New Roman"/>
          <w:b w:val="false"/>
          <w:i w:val="false"/>
          <w:color w:val="000000"/>
          <w:sz w:val="22"/>
        </w:rPr>
        <w:t>The department consists of the director and such divisions as the director may from time to time create.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The office of the director. </w:t>
      </w:r>
      <w:r>
        <w:rPr>
          <w:rFonts w:ascii="Times New Roman" w:hAnsi="Times New Roman"/>
          <w:b w:val="false"/>
          <w:i w:val="false"/>
          <w:color w:val="000000"/>
          <w:sz w:val="22"/>
        </w:rPr>
        <w:t>The essential functions of the office of the director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Overall management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of protest and revocation cases 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Strategic planning and coordination of the future operations and goals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 of financial checks and balances within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Facilitation of a working relationship between the public sector and the private sector.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Divisions. </w:t>
      </w:r>
      <w:r>
        <w:rPr>
          <w:rFonts w:ascii="Times New Roman" w:hAnsi="Times New Roman"/>
          <w:b w:val="false"/>
          <w:i w:val="false"/>
          <w:color w:val="000000"/>
          <w:sz w:val="22"/>
        </w:rPr>
        <w:t>For ease of administration, the director has organized the department into divisions and, in some instances, has organized those divisions into bureaus, sections, subsections, and units. The director may from time to time reorganize the department into administrative divisions in order to more efficiently and effectively carry out the authority’s responsibilities. Reorganization may include creating new divisions, eliminating existing divisions, or combining divisions as the director deems necessary. Such divisions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Local government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Tax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and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Legal services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color w:val="000000"/>
          <w:sz w:val="22"/>
        </w:rPr>
        <w:t xml:space="preserve">Designee. </w:t>
      </w:r>
      <w:r>
        <w:rPr>
          <w:rFonts w:ascii="Times New Roman" w:hAnsi="Times New Roman"/>
          <w:b w:val="false"/>
          <w:i w:val="false"/>
          <w:color w:val="000000"/>
          <w:sz w:val="22"/>
        </w:rPr>
        <w:t>Unless otherwise delegated in statute, in rule, or otherwise in writing by the director, only the director, deputy director, or chief legal officer may enter into contracts or agreements on behalf of the department.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422.1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2.pdf" Type="http://schemas.openxmlformats.org/officeDocument/2006/relationships/hyperlink" Id="rId4"/>
    <Relationship TargetMode="External" Target="https://www.legis.iowa.gov/docs/ico/chapter/421.9.pdf" Type="http://schemas.openxmlformats.org/officeDocument/2006/relationships/hyperlink" Id="rId5"/>
    <Relationship TargetMode="External" Target="https://www.legis.iowa.gov/docs/ico/chapter/421.14.pdf" Type="http://schemas.openxmlformats.org/officeDocument/2006/relationships/hyperlink" Id="rId6"/>
    <Relationship TargetMode="External" Target="https://www.legis.iowa.gov/docs/ico/chapter/421.17.pdf" Type="http://schemas.openxmlformats.org/officeDocument/2006/relationships/hyperlink" Id="rId7"/>
    <Relationship TargetMode="External" Target="https://www.legis.iowa.gov/docs/ico/chapter/422.1.pdf" Type="http://schemas.openxmlformats.org/officeDocument/2006/relationships/hyperlink" Id="rId8"/>
    <Relationship TargetMode="External" Target="https://www.legis.iowa.gov/docs/ico/chapter/422.72.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