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701—5.9</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Release to subject or owner of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record may request to review the subject’s own records by following the procedures in rules </w:t>
      </w:r>
      <w:hyperlink r:id="rId4">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 xml:space="preserve">(17A,22,421,422) and </w:t>
      </w:r>
      <w:hyperlink r:id="rId5">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However, the department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department that are protected from disclosure under Iowa Code section </w:t>
      </w:r>
      <w:hyperlink r:id="rId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Such protected communications include responses to questionnaires solicited by the department that relate to tax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that are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except when disclosure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records that may be withheld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Where a requested record contains information on multiple subjects, the department may take reasonable steps to protect confidential information relating to the subject or subjects that did not make the request when releasing the record to the requesting subject.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5.3.pdf" Type="http://schemas.openxmlformats.org/officeDocument/2006/relationships/hyperlink" Id="rId4"/>
    <Relationship TargetMode="External" Target="https://www.legis.iowa.gov/docs/iac/rule/701.5.4.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421.pdf" Type="http://schemas.openxmlformats.org/officeDocument/2006/relationships/hyperlink" Id="rId9"/>
    <Relationship TargetMode="External" Target="https://www.legis.iowa.gov/docs/ico/chapter/42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