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701—5.11</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Retention of submitted documents. </w:t>
      </w:r>
      <w:r>
        <w:rPr>
          <w:rFonts w:ascii="Times New Roman" w:hAnsi="Times New Roman"/>
          <w:b w:val="false"/>
          <w:i w:val="false"/>
          <w:color w:val="000000"/>
          <w:sz w:val="22"/>
        </w:rPr>
        <w:t>When the subject or owner of a record has submitted a document to the department, the department will store the document in the same manner that it stores other records of a similar nature. Documents submitted to the department may be destroyed by the department at the conclusion of the applicable time period detailed in the department’s record retention schedules, unless destruction is otherwise prohibited by law. The department discourages submitting original documents in situations where an original is not required. If an original document must be submitted, the person submitting the document shall indicate conspicuously that the document is an original and shall also indicate whether that person requests that the original be returned at the conclusion of its use by the department.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421.pdf" Type="http://schemas.openxmlformats.org/officeDocument/2006/relationships/hyperlink" Id="rId6"/>
    <Relationship TargetMode="External" Target="https://www.legis.iowa.gov/docs/ico/chapter/42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