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701—5.1</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that is not available as a matter of right for examination and copying by members of the public under applicable provisions of law. Confidential records include but are not limited to records or information contained in records that the department is prohibited by law from making available for examination by members of the public; records or information contained in records that are specified as confidential by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and confidential state tax information and federal tax information. Mere inclusion in a record of information declared confidential by an applicable provision of law does not necessarily make that entire record a confidential record.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“Confidential state tax information” </w:t>
      </w:r>
      <w:r>
        <w:rPr>
          <w:rFonts w:ascii="Times New Roman" w:hAnsi="Times New Roman"/>
          <w:b w:val="false"/>
          <w:i w:val="false"/>
          <w:color w:val="000000"/>
          <w:sz w:val="22"/>
        </w:rPr>
        <w:t xml:space="preserve">means information that is protected from disclosure by Iowa Code sections </w:t>
      </w:r>
      <w:hyperlink r:id="rId5">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Confidential state tax information includes but is not limited to state tax returns and return information. Confidential state tax information does not include federal tax information (FTI). If confidential state tax information is contained in a record, that record may also be considered a confidential record protected by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department, the director of revenue, the department’s public information officer, or a person lawfully delegated authority by the department to act for the department in implementing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revenue.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“Federal tax information”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“FTI” </w:t>
      </w:r>
      <w:r>
        <w:rPr>
          <w:rFonts w:ascii="Times New Roman" w:hAnsi="Times New Roman"/>
          <w:b w:val="false"/>
          <w:i w:val="false"/>
          <w:color w:val="000000"/>
          <w:sz w:val="22"/>
        </w:rPr>
        <w:t>means return or return information received directly from the IRS or obtained through an authorized secondary source such as Social Security Administration (SSA), federal Office of Child Support Enforcement (OCSE), Bureau of the Fiscal Service (BFS) or Centers for Medicare and Medicaid Services (CMS) or another entity acting on behalf of the IRS pursuant to an IRC §6103(p)(2)(B) agreement. Copies of tax returns or return information provided to the department directly by a taxpayer or the taxpayer’s representative or obtained from public information files (e.g., federal tax liens on file with the county clerk, Offers in Compromise available for public inspection, court records) are not considered FTI for the purposes of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means the e-services portal of the department.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“IRC” </w:t>
      </w:r>
      <w:r>
        <w:rPr>
          <w:rFonts w:ascii="Times New Roman" w:hAnsi="Times New Roman"/>
          <w:b w:val="false"/>
          <w:i w:val="false"/>
          <w:color w:val="000000"/>
          <w:sz w:val="22"/>
        </w:rPr>
        <w:t>means the Internal Revenue Code.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“IRS” </w:t>
      </w:r>
      <w:r>
        <w:rPr>
          <w:rFonts w:ascii="Times New Roman" w:hAnsi="Times New Roman"/>
          <w:b w:val="false"/>
          <w:i w:val="false"/>
          <w:color w:val="000000"/>
          <w:sz w:val="22"/>
        </w:rPr>
        <w:t>means the Internal Revenue Service.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 xml:space="preserve">means information about or pertaining to an individual in a record which identifies the individual and which is contained in a record system. The term “personally identifiable information” includes “personal information” as defined in Iowa Code section </w:t>
      </w:r>
      <w:hyperlink r:id="rId9">
        <w:r>
          <w:rPr>
            <w:rStyle w:val="Hyperlink"/>
            <w:rFonts w:ascii="Times New Roman" w:hAnsi="Times New Roman"/>
            <w:b w:val="false"/>
            <w:i w:val="false"/>
            <w:color w:val="000000"/>
            <w:sz w:val="22"/>
          </w:rPr>
          <w:t>715C.1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10">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that is owned by or in the physical possession of the department. Records include confidential records.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department from which a record may be retrieved by a personal identifier such as the name of an individual, number, symbol, or other unique retriever assigned to an individual. A record system is a “system,” as defined below.</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“Routine use” </w:t>
      </w:r>
      <w:r>
        <w:rPr>
          <w:rFonts w:ascii="Times New Roman" w:hAnsi="Times New Roman"/>
          <w:b w:val="false"/>
          <w:i w:val="false"/>
          <w:color w:val="000000"/>
          <w:sz w:val="22"/>
        </w:rPr>
        <w:t xml:space="preserve">means the disclosure of a record without the consent of the subject or subjects, for a purpose which is compatible with the purpose for which the record was collected. “Routine use” includes disclosures required to be made by statute other than the public records laws codified at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“System” </w:t>
      </w:r>
      <w:r>
        <w:rPr>
          <w:rFonts w:ascii="Times New Roman" w:hAnsi="Times New Roman"/>
          <w:b w:val="false"/>
          <w:i w:val="false"/>
          <w:color w:val="000000"/>
          <w:sz w:val="22"/>
        </w:rPr>
        <w:t>means any of the following:</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Computer hardware or software;</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Computerized processes and procedures;</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Noncomputerized processes and procedures.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“Tax administration” </w:t>
      </w:r>
      <w:r>
        <w:rPr>
          <w:rFonts w:ascii="Times New Roman" w:hAnsi="Times New Roman"/>
          <w:b w:val="false"/>
          <w:i w:val="false"/>
          <w:color w:val="000000"/>
          <w:sz w:val="22"/>
        </w:rPr>
        <w:t xml:space="preserve">means the administration, management, conduct, direction, and supervision of the execution and application of the state tax laws; means the development and formulation of state tax policy; and includes assessment, collection, enforcement, litigation, publication, and statistical gathering functions. </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422.20.pdf" Type="http://schemas.openxmlformats.org/officeDocument/2006/relationships/hyperlink" Id="rId5"/>
    <Relationship TargetMode="External" Target="https://www.legis.iowa.gov/docs/ico/chapter/422.72.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715C.1.pdf" Type="http://schemas.openxmlformats.org/officeDocument/2006/relationships/hyperlink" Id="rId9"/>
    <Relationship TargetMode="External" Target="https://www.legis.iowa.gov/docs/ico/chapter/22.1.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co/chapter/421.pdf" Type="http://schemas.openxmlformats.org/officeDocument/2006/relationships/hyperlink" Id="rId14"/>
    <Relationship TargetMode="External" Target="https://www.legis.iowa.gov/docs/ico/chapter/422.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