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701—260.6</w:t>
      </w:r>
      <w:r>
        <w:rPr>
          <w:rFonts w:ascii="Times New Roman" w:hAnsi="Times New Roman"/>
          <w:b/>
          <w:i w:val="false"/>
          <w:color w:val="000000"/>
          <w:sz w:val="22"/>
        </w:rPr>
        <w:t xml:space="preserve">(452A) </w:t>
      </w:r>
      <w:r>
        <w:rPr>
          <w:rFonts w:ascii="Times New Roman" w:hAnsi="Times New Roman"/>
          <w:b/>
          <w:i w:val="false"/>
          <w:color w:val="000000"/>
          <w:sz w:val="22"/>
        </w:rPr>
        <w:t xml:space="preserve">Distribution allowance. </w:t>
      </w:r>
      <w:r>
        <w:rPr>
          <w:rFonts w:ascii="Times New Roman" w:hAnsi="Times New Roman"/>
          <w:b w:val="false"/>
          <w:i w:val="false"/>
          <w:color w:val="000000"/>
          <w:sz w:val="22"/>
        </w:rPr>
        <w:t>The tax computation for a supplier includes a distribution allowance of 1.6 percent of the motor fuel gallonage and 0.7 percent of the undyed special fuel gallonage removed from the terminal during the reporting period. The distributor purchasing the fuel from the supplier is entitled to 1.2 percent of the motor fuel distribution allowance. The distributor or dealer purchasing fuel from a supplier is entitled to 0.35 percent of the undyed special fuel distribution allowance. The distribution allowance does not apply to fuel exported.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5.pdf" Type="http://schemas.openxmlformats.org/officeDocument/2006/relationships/hyperlink" Id="rId4"/>
    <Relationship TargetMode="External" Target="https://www.legis.iowa.gov/docs/ico/chapter/452A.8.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