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701—260.5</w:t>
      </w:r>
      <w:r>
        <w:rPr>
          <w:rFonts w:ascii="Times New Roman" w:hAnsi="Times New Roman"/>
          <w:b/>
          <w:i w:val="false"/>
          <w:color w:val="000000"/>
          <w:sz w:val="22"/>
        </w:rPr>
        <w:t xml:space="preserve">(452A) </w:t>
      </w:r>
      <w:r>
        <w:rPr>
          <w:rFonts w:ascii="Times New Roman" w:hAnsi="Times New Roman"/>
          <w:b/>
          <w:i w:val="false"/>
          <w:color w:val="000000"/>
          <w:sz w:val="22"/>
        </w:rPr>
        <w:t xml:space="preserve">Tax returns—computations.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260.5(1)</w:t>
      </w:r>
      <w:r>
        <w:rPr>
          <w:rFonts w:ascii="Times New Roman" w:hAnsi="Times New Roman"/>
          <w:b w:val="false"/>
          <w:i w:val="false"/>
          <w:color w:val="000000"/>
          <w:sz w:val="22"/>
        </w:rPr>
        <w:t> </w:t>
      </w:r>
      <w:r>
        <w:rPr>
          <w:rFonts w:ascii="Times New Roman" w:hAnsi="Times New Roman"/>
          <w:b w:val="false"/>
          <w:i w:val="false"/>
          <w:color w:val="000000"/>
          <w:sz w:val="22"/>
        </w:rPr>
        <w:t>Supplier—nexus.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fuel tax liability for a supplier is computed by multiplying the per gallon fuel tax rate by the total number of invoiced gallons of motor fuel or undyed special fuel withdrawn from the terminal by the supplier within the state or by the supplier with an Iowa nexus from a terminal outside the state during the preceding calendar month, less deductions for fuel exported in the case of in-state withdrawals and the distribution allowance provided for in Iowa Code section </w:t>
      </w:r>
      <w:hyperlink r:id="rId4">
        <w:r>
          <w:rPr>
            <w:rStyle w:val="Hyperlink"/>
            <w:rFonts w:ascii="Times New Roman" w:hAnsi="Times New Roman"/>
            <w:b w:val="false"/>
            <w:i w:val="false"/>
            <w:color w:val="000000"/>
            <w:sz w:val="22"/>
          </w:rPr>
          <w:t>452A.5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Tax shall not be paid when the sale of ethanol occurs within a terminal from an ethanol manufacturer to a licensed supplier. The tax shall be paid by the licensed supplier when the invoiced gross gallonage of the ethanol or the ethanol part of the ethanol blended gasoline is withdrawn from a terminal for delivery in this state. This makes the licensed supplier responsible for the tax on both the ethanol and the gasoline portions of the ethanol blended gasoline and for the reporting and accounting of this fuel as ethanol blended gasoline on the supplier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fuel is withdrawn by a supplier with no nexus in Iowa, but who voluntarily agrees to collect and report the tax, from a terminal outside of Iowa for importation into Iowa, the tax liability is computed in the same manner as in paragraph </w:t>
      </w:r>
      <w:r>
        <w:rPr>
          <w:rFonts w:ascii="Times New Roman" w:hAnsi="Times New Roman"/>
          <w:b w:val="false"/>
          <w:i/>
          <w:color w:val="000000"/>
          <w:sz w:val="22"/>
        </w:rPr>
        <w:t>“a”</w:t>
      </w:r>
      <w:r>
        <w:rPr>
          <w:rFonts w:ascii="Times New Roman" w:hAnsi="Times New Roman"/>
          <w:b w:val="false"/>
          <w:i w:val="false"/>
          <w:color w:val="000000"/>
          <w:sz w:val="22"/>
        </w:rPr>
        <w:t xml:space="preserve"> with the exception that no deduction is allowable for exports.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260.5(2)</w:t>
      </w:r>
      <w:r>
        <w:rPr>
          <w:rFonts w:ascii="Times New Roman" w:hAnsi="Times New Roman"/>
          <w:b w:val="false"/>
          <w:i w:val="false"/>
          <w:color w:val="000000"/>
          <w:sz w:val="22"/>
        </w:rPr>
        <w:t> </w:t>
      </w:r>
      <w:r>
        <w:rPr>
          <w:rFonts w:ascii="Times New Roman" w:hAnsi="Times New Roman"/>
          <w:b w:val="false"/>
          <w:i w:val="false"/>
          <w:color w:val="000000"/>
          <w:sz w:val="22"/>
        </w:rPr>
        <w:t>The fuel tax liability for a restrictive supplier is to be computed by multiplying the per gallon fuel tax rate by the total number of invoiced gallons of motor fuel or undyed special fuel imported into Iowa during the preceding calendar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260.5(3)</w:t>
      </w:r>
      <w:r>
        <w:rPr>
          <w:rFonts w:ascii="Times New Roman" w:hAnsi="Times New Roman"/>
          <w:b w:val="false"/>
          <w:i w:val="false"/>
          <w:color w:val="000000"/>
          <w:sz w:val="22"/>
        </w:rPr>
        <w:t> </w:t>
      </w:r>
      <w:r>
        <w:rPr>
          <w:rFonts w:ascii="Times New Roman" w:hAnsi="Times New Roman"/>
          <w:b w:val="false"/>
          <w:i w:val="false"/>
          <w:color w:val="000000"/>
          <w:sz w:val="22"/>
        </w:rPr>
        <w:t>The fuel tax liability for an importer is computed by multiplying the per gallon fuel tax rate by the total number of invoiced gallons of motor fuel or undyed special fuel imported into Iowa during the applicable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260.5(4)</w:t>
      </w:r>
      <w:r>
        <w:rPr>
          <w:rFonts w:ascii="Times New Roman" w:hAnsi="Times New Roman"/>
          <w:b w:val="false"/>
          <w:i w:val="false"/>
          <w:color w:val="000000"/>
          <w:sz w:val="22"/>
        </w:rPr>
        <w:t> </w:t>
      </w:r>
      <w:r>
        <w:rPr>
          <w:rFonts w:ascii="Times New Roman" w:hAnsi="Times New Roman"/>
          <w:b w:val="false"/>
          <w:i w:val="false"/>
          <w:color w:val="000000"/>
          <w:sz w:val="22"/>
        </w:rPr>
        <w:t>The tax liability for a nonlicensee is computed the same as a restrictive supplier. If motor fuel or undyed special fuel is exported from this state with no tax paid and subsequently returned to this state because all or a portion of it was not delivered where destined, the tax must be paid to the department by the nonlicensee.</w:t>
      </w:r>
    </w:p>
    <w:p>
      <w:pPr>
        <w:spacing w:before="0" w:after="0"/>
        <w:ind w:left="120"/>
        <w:jc w:val="both"/>
      </w:pPr>
      <w:r>
        <w:rPr>
          <w:rFonts w:ascii="Times New Roman" w:hAnsi="Times New Roman"/>
          <w:b w:val="false"/>
          <w:i w:val="false"/>
          <w:color w:val="000000"/>
          <w:sz w:val="22"/>
        </w:rPr>
        <w:t>All gallon entries on the return for determining the tax liability must be rounded to the nearest whole number.</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452A.3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2001 Iowa Acts, House File 736</w:t>
      </w:r>
      <w:r>
        <w:rPr>
          <w:rFonts w:ascii="Times New Roman" w:hAnsi="Times New Roman"/>
          <w:b w:val="false"/>
          <w:i w:val="false"/>
          <w:color w:val="000000"/>
          <w:sz w:val="22"/>
        </w:rPr>
        <w:t xml:space="preserve">, and sections </w:t>
      </w:r>
      <w:hyperlink r:id="rId6">
        <w:r>
          <w:rPr>
            <w:rStyle w:val="Hyperlink"/>
            <w:rFonts w:ascii="Times New Roman" w:hAnsi="Times New Roman"/>
            <w:b w:val="false"/>
            <w:i w:val="false"/>
            <w:color w:val="000000"/>
            <w:sz w:val="22"/>
          </w:rPr>
          <w:t>452A.5</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452A.8</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452A.9</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5842C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52A.5.pdf" Type="http://schemas.openxmlformats.org/officeDocument/2006/relationships/hyperlink" Id="rId4"/>
    <Relationship TargetMode="External" Target="https://www.legis.iowa.gov/docs/ico/chapter/452A.3.pdf" Type="http://schemas.openxmlformats.org/officeDocument/2006/relationships/hyperlink" Id="rId5"/>
    <Relationship TargetMode="External" Target="https://www.legis.iowa.gov/docs/ico/chapter/452A.5.pdf" Type="http://schemas.openxmlformats.org/officeDocument/2006/relationships/hyperlink" Id="rId6"/>
    <Relationship TargetMode="External" Target="https://www.legis.iowa.gov/docs/ico/chapter/452A.8.pdf" Type="http://schemas.openxmlformats.org/officeDocument/2006/relationships/hyperlink" Id="rId7"/>
    <Relationship TargetMode="External" Target="https://www.legis.iowa.gov/docs/ico/chapter/452A.9.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